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4551CECD">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7F7A1700" w:rsidR="00C046A0" w:rsidRDefault="00C046A0" w:rsidP="00C046A0">
      <w:pPr>
        <w:pStyle w:val="Title"/>
        <w:ind w:left="0" w:right="1001" w:firstLine="0"/>
        <w:rPr>
          <w:spacing w:val="-2"/>
        </w:rPr>
      </w:pPr>
      <w:r>
        <w:rPr>
          <w:spacing w:val="-2"/>
        </w:rPr>
        <w:t xml:space="preserve">Division: </w:t>
      </w:r>
      <w:r w:rsidR="00995196" w:rsidRPr="0050713D">
        <w:t>Technology and Transportation Department</w:t>
      </w:r>
    </w:p>
    <w:p w14:paraId="46C038AC" w14:textId="2AE9163C" w:rsidR="00C046A0" w:rsidRDefault="00D91EA6" w:rsidP="00C046A0">
      <w:pPr>
        <w:pStyle w:val="Title"/>
        <w:ind w:left="0" w:right="1001" w:firstLine="0"/>
        <w:rPr>
          <w:spacing w:val="-2"/>
        </w:rPr>
      </w:pPr>
      <w:r>
        <w:rPr>
          <w:spacing w:val="-2"/>
        </w:rPr>
        <w:t>Department</w:t>
      </w:r>
      <w:r w:rsidR="00C046A0">
        <w:rPr>
          <w:spacing w:val="-2"/>
        </w:rPr>
        <w:t xml:space="preserve">: </w:t>
      </w:r>
      <w:r w:rsidR="007F72F2">
        <w:rPr>
          <w:spacing w:val="-2"/>
        </w:rPr>
        <w:t>Supply Chain Management</w:t>
      </w:r>
    </w:p>
    <w:p w14:paraId="31AE8E3B" w14:textId="77777777" w:rsidR="006462E0" w:rsidRDefault="006462E0">
      <w:pPr>
        <w:pStyle w:val="BodyText"/>
        <w:spacing w:before="49"/>
        <w:ind w:left="0" w:firstLine="0"/>
      </w:pPr>
    </w:p>
    <w:p w14:paraId="31AE8E3E" w14:textId="0BF6E524" w:rsidR="006462E0" w:rsidRPr="00233C0A" w:rsidRDefault="00D91EA6" w:rsidP="00233C0A">
      <w:pPr>
        <w:rPr>
          <w:b/>
          <w:bCs/>
        </w:rPr>
      </w:pPr>
      <w:r w:rsidRPr="00233C0A">
        <w:rPr>
          <w:b/>
          <w:bCs/>
        </w:rPr>
        <w:t>COURSE NUMBER:</w:t>
      </w:r>
      <w:r w:rsidR="00D457F1">
        <w:rPr>
          <w:b/>
          <w:bCs/>
        </w:rPr>
        <w:t xml:space="preserve"> </w:t>
      </w:r>
      <w:r w:rsidR="007F72F2">
        <w:rPr>
          <w:b/>
          <w:bCs/>
        </w:rPr>
        <w:t>SCM-2290-W01</w:t>
      </w:r>
      <w:r w:rsidR="00D457F1">
        <w:rPr>
          <w:b/>
          <w:bCs/>
        </w:rPr>
        <w:tab/>
      </w:r>
      <w:r w:rsidR="00D457F1">
        <w:rPr>
          <w:b/>
          <w:bCs/>
        </w:rPr>
        <w:tab/>
      </w:r>
      <w:r w:rsidRPr="00233C0A">
        <w:rPr>
          <w:b/>
          <w:bCs/>
        </w:rPr>
        <w:t>COURSE TITLE:</w:t>
      </w:r>
      <w:r w:rsidR="00E37658">
        <w:rPr>
          <w:b/>
          <w:bCs/>
        </w:rPr>
        <w:t xml:space="preserve"> Import/Export Regulations and Compliance</w:t>
      </w:r>
    </w:p>
    <w:p w14:paraId="043B8E46" w14:textId="628A3555" w:rsidR="00233C0A" w:rsidRDefault="00E37658" w:rsidP="00233C0A">
      <w:r>
        <w:tab/>
      </w:r>
    </w:p>
    <w:p w14:paraId="31AE8E3F" w14:textId="06DC9631" w:rsidR="006462E0" w:rsidRPr="00233C0A" w:rsidRDefault="00D91EA6" w:rsidP="00233C0A">
      <w:pPr>
        <w:rPr>
          <w:b/>
          <w:bCs/>
        </w:rPr>
      </w:pPr>
      <w:r w:rsidRPr="00233C0A">
        <w:rPr>
          <w:b/>
          <w:bCs/>
        </w:rPr>
        <w:t>INSTRUCTOR:</w:t>
      </w:r>
      <w:r w:rsidRPr="00233C0A">
        <w:rPr>
          <w:b/>
          <w:bCs/>
        </w:rPr>
        <w:tab/>
      </w:r>
      <w:r w:rsidR="00E37658">
        <w:rPr>
          <w:b/>
          <w:bCs/>
        </w:rPr>
        <w:t>Jeff Brown</w:t>
      </w:r>
      <w:r w:rsidR="00233C0A" w:rsidRPr="00233C0A">
        <w:rPr>
          <w:b/>
          <w:bCs/>
        </w:rPr>
        <w:tab/>
      </w:r>
      <w:r w:rsidR="00233C0A" w:rsidRPr="00233C0A">
        <w:rPr>
          <w:b/>
          <w:bCs/>
        </w:rPr>
        <w:tab/>
      </w:r>
      <w:r w:rsidR="00233C0A" w:rsidRPr="00233C0A">
        <w:rPr>
          <w:b/>
          <w:bCs/>
        </w:rPr>
        <w:tab/>
      </w:r>
      <w:r w:rsidRPr="00233C0A">
        <w:rPr>
          <w:b/>
          <w:bCs/>
        </w:rPr>
        <w:t>CONTACT:</w:t>
      </w:r>
      <w:r w:rsidR="00E37658">
        <w:rPr>
          <w:b/>
          <w:bCs/>
        </w:rPr>
        <w:t xml:space="preserve"> </w:t>
      </w:r>
      <w:hyperlink r:id="rId8" w:history="1">
        <w:r w:rsidR="005578D6" w:rsidRPr="00901E12">
          <w:rPr>
            <w:rStyle w:val="Hyperlink"/>
            <w:b/>
            <w:bCs/>
          </w:rPr>
          <w:t>jbrown@cscc.edu</w:t>
        </w:r>
      </w:hyperlink>
      <w:r w:rsidR="005578D6">
        <w:rPr>
          <w:b/>
          <w:bCs/>
        </w:rPr>
        <w:t xml:space="preserve"> (614) 230-3841</w:t>
      </w:r>
    </w:p>
    <w:p w14:paraId="15ECDE75" w14:textId="77777777" w:rsidR="00233C0A" w:rsidRDefault="00233C0A" w:rsidP="00233C0A">
      <w:pPr>
        <w:rPr>
          <w:b/>
          <w:bCs/>
        </w:rPr>
      </w:pPr>
    </w:p>
    <w:p w14:paraId="31AE8E40" w14:textId="7FEC82B1" w:rsidR="006462E0" w:rsidRPr="00233C0A" w:rsidRDefault="00D91EA6" w:rsidP="00233C0A">
      <w:pPr>
        <w:rPr>
          <w:b/>
          <w:bCs/>
        </w:rPr>
      </w:pPr>
      <w:r w:rsidRPr="00233C0A">
        <w:rPr>
          <w:b/>
          <w:bCs/>
        </w:rPr>
        <w:t>CREDITS:</w:t>
      </w:r>
      <w:r w:rsidR="00E37658">
        <w:rPr>
          <w:b/>
          <w:bCs/>
        </w:rPr>
        <w:t xml:space="preserve"> 4</w:t>
      </w:r>
      <w:r w:rsidR="00233C0A">
        <w:rPr>
          <w:b/>
          <w:bCs/>
        </w:rPr>
        <w:tab/>
      </w:r>
      <w:r w:rsidRPr="00233C0A">
        <w:rPr>
          <w:b/>
          <w:bCs/>
        </w:rPr>
        <w:tab/>
        <w:t>CLASS</w:t>
      </w:r>
      <w:r w:rsidR="007778B7">
        <w:rPr>
          <w:b/>
          <w:bCs/>
        </w:rPr>
        <w:t>/CONTACT</w:t>
      </w:r>
      <w:r w:rsidRPr="00233C0A">
        <w:rPr>
          <w:b/>
          <w:bCs/>
        </w:rPr>
        <w:t xml:space="preserve"> HOURS PER WEEK:</w:t>
      </w:r>
      <w:r w:rsidR="00E37658">
        <w:rPr>
          <w:b/>
          <w:bCs/>
        </w:rPr>
        <w:t xml:space="preserve"> 4</w:t>
      </w:r>
      <w:r w:rsidRPr="00233C0A">
        <w:rPr>
          <w:b/>
          <w:bCs/>
        </w:rPr>
        <w:tab/>
      </w:r>
      <w:r w:rsidR="00233C0A">
        <w:rPr>
          <w:b/>
          <w:bCs/>
        </w:rPr>
        <w:tab/>
      </w:r>
      <w:r w:rsidRPr="00233C0A">
        <w:rPr>
          <w:b/>
          <w:bCs/>
        </w:rPr>
        <w:t>PREREQUISITES:</w:t>
      </w:r>
      <w:r w:rsidR="00E37658">
        <w:rPr>
          <w:b/>
          <w:bCs/>
        </w:rPr>
        <w:t xml:space="preserve"> SCM 1100</w:t>
      </w:r>
    </w:p>
    <w:p w14:paraId="31AE8E41" w14:textId="77777777" w:rsidR="006462E0" w:rsidRPr="00233C0A" w:rsidRDefault="006462E0" w:rsidP="00233C0A"/>
    <w:p w14:paraId="59E49EEF" w14:textId="77777777" w:rsidR="00C065D1" w:rsidRDefault="00D91EA6" w:rsidP="009A0050">
      <w:pPr>
        <w:rPr>
          <w:b/>
          <w:bCs/>
        </w:rPr>
      </w:pPr>
      <w:r w:rsidRPr="00233C0A">
        <w:rPr>
          <w:b/>
          <w:bCs/>
        </w:rPr>
        <w:t xml:space="preserve">DESCRIPTION OF COURSE </w:t>
      </w:r>
    </w:p>
    <w:p w14:paraId="6289DE50" w14:textId="7492174A" w:rsidR="009A0050" w:rsidRDefault="009A0050" w:rsidP="009A0050">
      <w:r w:rsidRPr="00D14004">
        <w:t xml:space="preserve">SCM 2290 is an overview of the major international transportation and logistical regulatory compliance requirements with which logistics managers are most likely to be confronted while either exporting or importing their company’s products. These include U.S. common and statutory laws; regulation of air, motor, and ocean carriers; various export/import documentation; third-party intermediaries (e.g., forwarders, brokers, and consultants); and export and import regulations. Emphasis is placed on developing a </w:t>
      </w:r>
      <w:r w:rsidR="00C065D1">
        <w:t>company's</w:t>
      </w:r>
      <w:r w:rsidRPr="00D14004">
        <w:t xml:space="preserve"> export management procedures guide. </w:t>
      </w:r>
    </w:p>
    <w:p w14:paraId="31AE8E44" w14:textId="77777777" w:rsidR="006462E0" w:rsidRPr="00233C0A" w:rsidRDefault="006462E0" w:rsidP="00233C0A"/>
    <w:p w14:paraId="31AE8E47" w14:textId="0B7CB276" w:rsidR="006462E0" w:rsidRDefault="00D91EA6" w:rsidP="00233C0A">
      <w:pPr>
        <w:rPr>
          <w:b/>
          <w:bCs/>
          <w:color w:val="FF0000"/>
        </w:rPr>
      </w:pPr>
      <w:r w:rsidRPr="00233C0A">
        <w:rPr>
          <w:b/>
          <w:bCs/>
        </w:rPr>
        <w:t xml:space="preserve">COURSE STUDENT LEARNING OUTCOMES </w:t>
      </w:r>
    </w:p>
    <w:p w14:paraId="2F836BC5" w14:textId="77777777" w:rsidR="00C065D1" w:rsidRDefault="00C065D1" w:rsidP="00C065D1">
      <w:r w:rsidRPr="00D14004">
        <w:t>At the completion of this course of study, students must be able to</w:t>
      </w:r>
    </w:p>
    <w:p w14:paraId="5FCA29CC" w14:textId="77777777" w:rsidR="00C065D1" w:rsidRDefault="00C065D1" w:rsidP="00C065D1">
      <w:pPr>
        <w:pStyle w:val="ListParagraph"/>
        <w:widowControl/>
        <w:numPr>
          <w:ilvl w:val="0"/>
          <w:numId w:val="2"/>
        </w:numPr>
        <w:autoSpaceDE/>
        <w:autoSpaceDN/>
        <w:spacing w:after="160" w:line="259" w:lineRule="auto"/>
        <w:contextualSpacing/>
      </w:pPr>
      <w:r w:rsidRPr="00D14004">
        <w:t>Define the term “informed compliance” and explain its benefits to both parties</w:t>
      </w:r>
    </w:p>
    <w:p w14:paraId="69B27104" w14:textId="77777777" w:rsidR="00C065D1" w:rsidRDefault="00C065D1" w:rsidP="00C065D1">
      <w:pPr>
        <w:pStyle w:val="ListParagraph"/>
        <w:widowControl/>
        <w:numPr>
          <w:ilvl w:val="0"/>
          <w:numId w:val="2"/>
        </w:numPr>
        <w:autoSpaceDE/>
        <w:autoSpaceDN/>
        <w:spacing w:after="160" w:line="259" w:lineRule="auto"/>
        <w:contextualSpacing/>
      </w:pPr>
      <w:r w:rsidRPr="00D14004">
        <w:t xml:space="preserve">Distinguish among transportation modes and identify liability differences among them • Define the terms “export” and “deemed export” and explain the difference </w:t>
      </w:r>
    </w:p>
    <w:p w14:paraId="7DA69498" w14:textId="77777777" w:rsidR="00C065D1" w:rsidRDefault="00C065D1" w:rsidP="00C065D1">
      <w:pPr>
        <w:pStyle w:val="ListParagraph"/>
        <w:widowControl/>
        <w:numPr>
          <w:ilvl w:val="0"/>
          <w:numId w:val="2"/>
        </w:numPr>
        <w:autoSpaceDE/>
        <w:autoSpaceDN/>
        <w:spacing w:after="160" w:line="259" w:lineRule="auto"/>
        <w:contextualSpacing/>
      </w:pPr>
      <w:r w:rsidRPr="00D14004">
        <w:t xml:space="preserve">Identify and describe those items necessary for inclusion in an EAR compliance manual </w:t>
      </w:r>
    </w:p>
    <w:p w14:paraId="7A9F8BDE" w14:textId="77777777" w:rsidR="00C065D1" w:rsidRDefault="00C065D1" w:rsidP="00C065D1">
      <w:pPr>
        <w:pStyle w:val="ListParagraph"/>
        <w:widowControl/>
        <w:numPr>
          <w:ilvl w:val="0"/>
          <w:numId w:val="2"/>
        </w:numPr>
        <w:autoSpaceDE/>
        <w:autoSpaceDN/>
        <w:spacing w:after="160" w:line="259" w:lineRule="auto"/>
        <w:contextualSpacing/>
      </w:pPr>
      <w:r w:rsidRPr="00D14004">
        <w:t xml:space="preserve">Explain the concept of “common callings” as it applies to the Carmack Amendment </w:t>
      </w:r>
    </w:p>
    <w:p w14:paraId="55C5BF34" w14:textId="77777777" w:rsidR="00C065D1" w:rsidRDefault="00C065D1" w:rsidP="00C065D1">
      <w:pPr>
        <w:pStyle w:val="ListParagraph"/>
        <w:widowControl/>
        <w:numPr>
          <w:ilvl w:val="0"/>
          <w:numId w:val="2"/>
        </w:numPr>
        <w:autoSpaceDE/>
        <w:autoSpaceDN/>
        <w:spacing w:after="160" w:line="259" w:lineRule="auto"/>
        <w:contextualSpacing/>
      </w:pPr>
      <w:r w:rsidRPr="00D14004">
        <w:t xml:space="preserve">Describe the requirements of filing a freight claim for loss, damage, or delay </w:t>
      </w:r>
    </w:p>
    <w:p w14:paraId="106FE3D0" w14:textId="77777777" w:rsidR="00C065D1" w:rsidRPr="00233C0A" w:rsidRDefault="00C065D1" w:rsidP="00233C0A">
      <w:pPr>
        <w:rPr>
          <w:b/>
          <w:bCs/>
        </w:rPr>
      </w:pPr>
    </w:p>
    <w:p w14:paraId="31AE8E48" w14:textId="77777777" w:rsidR="006462E0" w:rsidRPr="00233C0A" w:rsidRDefault="006462E0" w:rsidP="00233C0A"/>
    <w:p w14:paraId="31AE8E4B" w14:textId="763C5C1D" w:rsidR="006462E0" w:rsidRPr="0067368A" w:rsidRDefault="00D91EA6" w:rsidP="00233C0A">
      <w:pPr>
        <w:rPr>
          <w:b/>
          <w:bCs/>
          <w:color w:val="FF0000"/>
        </w:rPr>
      </w:pPr>
      <w:r w:rsidRPr="0067368A">
        <w:rPr>
          <w:b/>
          <w:bCs/>
        </w:rPr>
        <w:t>PROGRAM OUTCOMES</w:t>
      </w:r>
    </w:p>
    <w:p w14:paraId="5392A7F4" w14:textId="77777777" w:rsidR="00BB2A21" w:rsidRDefault="00BB2A21" w:rsidP="00BB2A21">
      <w:pPr>
        <w:ind w:left="45"/>
      </w:pPr>
      <w:r w:rsidRPr="00D14004">
        <w:t xml:space="preserve">At the completion of this program of study, students must be able to </w:t>
      </w:r>
    </w:p>
    <w:p w14:paraId="3C422D15" w14:textId="77777777" w:rsidR="00BB2A21" w:rsidRDefault="00BB2A21" w:rsidP="00BB2A21">
      <w:pPr>
        <w:pStyle w:val="ListParagraph"/>
        <w:widowControl/>
        <w:numPr>
          <w:ilvl w:val="0"/>
          <w:numId w:val="2"/>
        </w:numPr>
        <w:autoSpaceDE/>
        <w:autoSpaceDN/>
        <w:spacing w:after="160" w:line="259" w:lineRule="auto"/>
        <w:contextualSpacing/>
      </w:pPr>
      <w:r w:rsidRPr="00D14004">
        <w:t xml:space="preserve">Earn a degree and/or certificates in Supply Chain Management </w:t>
      </w:r>
    </w:p>
    <w:p w14:paraId="51C8589E" w14:textId="77777777" w:rsidR="00BB2A21" w:rsidRDefault="00BB2A21" w:rsidP="00BB2A21">
      <w:pPr>
        <w:pStyle w:val="ListParagraph"/>
        <w:widowControl/>
        <w:numPr>
          <w:ilvl w:val="0"/>
          <w:numId w:val="2"/>
        </w:numPr>
        <w:autoSpaceDE/>
        <w:autoSpaceDN/>
        <w:spacing w:after="160" w:line="259" w:lineRule="auto"/>
        <w:contextualSpacing/>
      </w:pPr>
      <w:r w:rsidRPr="00D14004">
        <w:t xml:space="preserve">Continue their education in Supply Chain Management </w:t>
      </w:r>
    </w:p>
    <w:p w14:paraId="0DFC8503" w14:textId="77777777" w:rsidR="00BB2A21" w:rsidRDefault="00BB2A21" w:rsidP="00BB2A21">
      <w:pPr>
        <w:pStyle w:val="ListParagraph"/>
        <w:widowControl/>
        <w:numPr>
          <w:ilvl w:val="0"/>
          <w:numId w:val="2"/>
        </w:numPr>
        <w:autoSpaceDE/>
        <w:autoSpaceDN/>
        <w:spacing w:after="160" w:line="259" w:lineRule="auto"/>
        <w:contextualSpacing/>
      </w:pPr>
      <w:r w:rsidRPr="00D14004">
        <w:t xml:space="preserve">Gain employment in Supply Chain Management or related career field </w:t>
      </w:r>
    </w:p>
    <w:p w14:paraId="31AE8E4D" w14:textId="77777777" w:rsidR="006462E0" w:rsidRPr="00233C0A" w:rsidRDefault="006462E0" w:rsidP="00233C0A"/>
    <w:p w14:paraId="31AE8E4E" w14:textId="4402F244" w:rsidR="006462E0" w:rsidRPr="0067368A" w:rsidRDefault="00D91EA6" w:rsidP="00233C0A">
      <w:pPr>
        <w:rPr>
          <w:b/>
          <w:bCs/>
        </w:rPr>
      </w:pPr>
      <w:r w:rsidRPr="0067368A">
        <w:rPr>
          <w:b/>
          <w:bCs/>
        </w:rPr>
        <w:t>OUTCOMES BASED ASSESSMENT OF STUDENT LEARNING</w:t>
      </w:r>
    </w:p>
    <w:p w14:paraId="5945EA67" w14:textId="77777777" w:rsidR="0067368A" w:rsidRDefault="0067368A" w:rsidP="00233C0A"/>
    <w:p w14:paraId="72C79FF4" w14:textId="77777777" w:rsidR="005F04EB" w:rsidRPr="005F04EB" w:rsidRDefault="005F04EB" w:rsidP="005F04EB">
      <w:r w:rsidRPr="005F04EB">
        <w:t xml:space="preserve">For this course, students are expected to demonstrate the skills associated with the Institutional Learning Goals (ILG) identified below: </w:t>
      </w:r>
    </w:p>
    <w:p w14:paraId="6F503EA3" w14:textId="77777777" w:rsidR="005F04EB" w:rsidRPr="005F04EB" w:rsidRDefault="005F04EB" w:rsidP="005F04EB">
      <w:pPr>
        <w:ind w:firstLine="720"/>
      </w:pPr>
      <w:r w:rsidRPr="005F04EB">
        <w:t xml:space="preserve">1. Critical Thinking </w:t>
      </w:r>
    </w:p>
    <w:p w14:paraId="747FDBBD" w14:textId="77777777" w:rsidR="005F04EB" w:rsidRPr="005F04EB" w:rsidRDefault="005F04EB" w:rsidP="005F04EB">
      <w:pPr>
        <w:ind w:firstLine="720"/>
      </w:pPr>
      <w:r w:rsidRPr="005F04EB">
        <w:t xml:space="preserve">2. Ethical Reasoning </w:t>
      </w:r>
    </w:p>
    <w:p w14:paraId="681DCA7C" w14:textId="77777777" w:rsidR="005F04EB" w:rsidRPr="005F04EB" w:rsidRDefault="005F04EB" w:rsidP="005F04EB">
      <w:pPr>
        <w:ind w:firstLine="720"/>
      </w:pPr>
      <w:r w:rsidRPr="005F04EB">
        <w:t xml:space="preserve">5. Technological Competence </w:t>
      </w:r>
    </w:p>
    <w:p w14:paraId="59EDD561" w14:textId="77777777" w:rsidR="005F04EB" w:rsidRPr="005F04EB" w:rsidRDefault="005F04EB" w:rsidP="005F04EB">
      <w:pPr>
        <w:ind w:firstLine="720"/>
      </w:pPr>
      <w:r w:rsidRPr="005F04EB">
        <w:t xml:space="preserve">6. Communication Competence </w:t>
      </w:r>
    </w:p>
    <w:p w14:paraId="141FDE61" w14:textId="77777777" w:rsidR="005F04EB" w:rsidRPr="005F04EB" w:rsidRDefault="005F04EB" w:rsidP="005F04EB">
      <w:pPr>
        <w:ind w:firstLine="720"/>
      </w:pPr>
      <w:r w:rsidRPr="005F04EB">
        <w:t xml:space="preserve">7. Cultural and Social Awareness </w:t>
      </w:r>
    </w:p>
    <w:p w14:paraId="25A2F78C" w14:textId="77777777" w:rsidR="005F04EB" w:rsidRPr="005F04EB" w:rsidRDefault="005F04EB" w:rsidP="005F04EB">
      <w:pPr>
        <w:ind w:firstLine="720"/>
      </w:pPr>
      <w:r w:rsidRPr="005F04EB">
        <w:t xml:space="preserve">8. Professional and Life Skills </w:t>
      </w:r>
    </w:p>
    <w:p w14:paraId="582FEB50" w14:textId="77777777" w:rsidR="00A3608A" w:rsidRPr="00233C0A" w:rsidRDefault="00A3608A" w:rsidP="00A3608A">
      <w:pPr>
        <w:ind w:firstLine="720"/>
      </w:pPr>
    </w:p>
    <w:p w14:paraId="31AE8E51" w14:textId="77777777" w:rsidR="006462E0" w:rsidRPr="00233C0A" w:rsidRDefault="00D91EA6" w:rsidP="00233C0A">
      <w:r w:rsidRPr="00233C0A">
        <w:lastRenderedPageBreak/>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233C0A" w:rsidRDefault="006462E0" w:rsidP="00233C0A"/>
    <w:p w14:paraId="31AE8E55" w14:textId="66A0DDDB" w:rsidR="006462E0" w:rsidRDefault="00D91EA6" w:rsidP="00233C0A">
      <w:pPr>
        <w:rPr>
          <w:b/>
          <w:bCs/>
        </w:rPr>
      </w:pPr>
      <w:r w:rsidRPr="00A3608A">
        <w:rPr>
          <w:b/>
          <w:bCs/>
        </w:rPr>
        <w:t>COURSE MATERIALS REQUIRED</w:t>
      </w:r>
      <w:r w:rsidR="00F423FC">
        <w:rPr>
          <w:b/>
          <w:bCs/>
        </w:rPr>
        <w:t xml:space="preserve">: </w:t>
      </w:r>
      <w:r w:rsidR="00F423FC" w:rsidRPr="00F423FC">
        <w:t xml:space="preserve">None </w:t>
      </w:r>
    </w:p>
    <w:p w14:paraId="7F40968F" w14:textId="77777777" w:rsidR="00F423FC" w:rsidRPr="00F423FC" w:rsidRDefault="00F423FC" w:rsidP="00233C0A">
      <w:pPr>
        <w:rPr>
          <w:b/>
          <w:bCs/>
        </w:rPr>
      </w:pPr>
    </w:p>
    <w:p w14:paraId="31AE8E57" w14:textId="77777777" w:rsidR="006462E0" w:rsidRPr="00A3608A" w:rsidRDefault="00D91EA6" w:rsidP="00233C0A">
      <w:pPr>
        <w:rPr>
          <w:b/>
          <w:bCs/>
        </w:rPr>
      </w:pPr>
      <w:r w:rsidRPr="00A3608A">
        <w:rPr>
          <w:b/>
          <w:bCs/>
        </w:rPr>
        <w:t>TEXTBOOK(S), MANUALS, REFERENCES, AND OTHER READINGS</w:t>
      </w:r>
    </w:p>
    <w:p w14:paraId="37157CEF" w14:textId="1B4A7607" w:rsidR="00A3608A" w:rsidRDefault="00760D01" w:rsidP="00233C0A">
      <w:r w:rsidRPr="00D14004">
        <w:t>Page 1 of 3 All course reading materials are available on the Blackboard site as a .pdf file.</w:t>
      </w:r>
    </w:p>
    <w:p w14:paraId="16715268" w14:textId="77777777" w:rsidR="00760D01" w:rsidRDefault="00760D01" w:rsidP="00233C0A"/>
    <w:p w14:paraId="31AE8E59" w14:textId="2CAE5592" w:rsidR="006462E0" w:rsidRPr="00A3608A" w:rsidRDefault="00D91EA6" w:rsidP="00233C0A">
      <w:pPr>
        <w:rPr>
          <w:b/>
          <w:bCs/>
        </w:rPr>
      </w:pPr>
      <w:r w:rsidRPr="00A3608A">
        <w:rPr>
          <w:b/>
          <w:bCs/>
        </w:rPr>
        <w:t>GENERAL INSTRUCTIONAL METHODS</w:t>
      </w:r>
    </w:p>
    <w:p w14:paraId="40CCAC63" w14:textId="77777777" w:rsidR="00E805F5" w:rsidRDefault="00E805F5" w:rsidP="00E805F5">
      <w:r w:rsidRPr="00D14004">
        <w:t xml:space="preserve">Self-study of text; open-book quizzes; final exam; email Q&amp;A with instructor; internet research for written assignments, and periodic optional tours. </w:t>
      </w:r>
    </w:p>
    <w:p w14:paraId="31AE8E5A" w14:textId="77777777" w:rsidR="006462E0" w:rsidRPr="00233C0A" w:rsidRDefault="006462E0" w:rsidP="00233C0A"/>
    <w:p w14:paraId="31AE8E5D" w14:textId="77777777" w:rsidR="006462E0" w:rsidRPr="00A3608A" w:rsidRDefault="00D91EA6" w:rsidP="00233C0A">
      <w:pPr>
        <w:rPr>
          <w:b/>
          <w:bCs/>
        </w:rPr>
      </w:pPr>
      <w:r w:rsidRPr="00A3608A">
        <w:rPr>
          <w:b/>
          <w:bCs/>
        </w:rPr>
        <w:t>STANDARDS AND METHODS FOR EVALUATION</w:t>
      </w:r>
    </w:p>
    <w:p w14:paraId="25C846B7" w14:textId="77777777" w:rsidR="00147040" w:rsidRDefault="00147040" w:rsidP="00280E01">
      <w:pPr>
        <w:pStyle w:val="ListParagraph"/>
        <w:numPr>
          <w:ilvl w:val="1"/>
          <w:numId w:val="3"/>
        </w:numPr>
      </w:pPr>
      <w:r w:rsidRPr="00D14004">
        <w:t xml:space="preserve">Case study analysis, quizzes, and classroom participation. </w:t>
      </w:r>
    </w:p>
    <w:p w14:paraId="0F4D9142" w14:textId="2BDC2966" w:rsidR="00147040" w:rsidRDefault="00147040" w:rsidP="00280E01">
      <w:pPr>
        <w:pStyle w:val="ListParagraph"/>
        <w:numPr>
          <w:ilvl w:val="1"/>
          <w:numId w:val="3"/>
        </w:numPr>
      </w:pPr>
      <w:r w:rsidRPr="00D14004">
        <w:t xml:space="preserve">Quizzes: </w:t>
      </w:r>
      <w:r>
        <w:tab/>
      </w:r>
      <w:r w:rsidRPr="00D14004">
        <w:t xml:space="preserve">13 </w:t>
      </w:r>
      <w:r w:rsidR="00347BE9">
        <w:tab/>
      </w:r>
      <w:r w:rsidR="00347BE9">
        <w:tab/>
      </w:r>
      <w:r w:rsidRPr="00D14004">
        <w:t xml:space="preserve">Quizzes (3pts/Question) </w:t>
      </w:r>
      <w:r>
        <w:tab/>
        <w:t>525 Points</w:t>
      </w:r>
    </w:p>
    <w:p w14:paraId="2DCA3BFD" w14:textId="382CF0E4" w:rsidR="00147040" w:rsidRDefault="00147040" w:rsidP="00280E01">
      <w:pPr>
        <w:pStyle w:val="ListParagraph"/>
        <w:numPr>
          <w:ilvl w:val="1"/>
          <w:numId w:val="3"/>
        </w:numPr>
      </w:pPr>
      <w:r w:rsidRPr="00D14004">
        <w:t xml:space="preserve">Case studies: </w:t>
      </w:r>
      <w:r>
        <w:tab/>
        <w:t xml:space="preserve">2 </w:t>
      </w:r>
      <w:r w:rsidR="00347BE9">
        <w:tab/>
      </w:r>
      <w:r w:rsidR="00347BE9">
        <w:tab/>
      </w:r>
      <w:r w:rsidRPr="00D14004">
        <w:t>Case Studies – 45/100 Points</w:t>
      </w:r>
      <w:r>
        <w:t xml:space="preserve"> </w:t>
      </w:r>
      <w:r>
        <w:tab/>
        <w:t>145 Points</w:t>
      </w:r>
    </w:p>
    <w:p w14:paraId="426C166D" w14:textId="4E6DD43E" w:rsidR="00147040" w:rsidRDefault="00147040" w:rsidP="00280E01">
      <w:pPr>
        <w:pStyle w:val="ListParagraph"/>
        <w:numPr>
          <w:ilvl w:val="1"/>
          <w:numId w:val="3"/>
        </w:numPr>
      </w:pPr>
      <w:r w:rsidRPr="00D14004">
        <w:t xml:space="preserve">Final: Final </w:t>
      </w:r>
      <w:r>
        <w:tab/>
      </w:r>
      <w:r w:rsidRPr="00D14004">
        <w:t xml:space="preserve"> 60 </w:t>
      </w:r>
      <w:r w:rsidR="00347BE9">
        <w:tab/>
      </w:r>
      <w:r w:rsidR="00347BE9">
        <w:tab/>
      </w:r>
      <w:r w:rsidRPr="00D14004">
        <w:t>Q’s/5 Pts Each</w:t>
      </w:r>
      <w:r>
        <w:t xml:space="preserve"> </w:t>
      </w:r>
      <w:r>
        <w:tab/>
      </w:r>
      <w:r>
        <w:tab/>
      </w:r>
      <w:r w:rsidR="00347BE9">
        <w:tab/>
      </w:r>
      <w:r>
        <w:t>300 Points</w:t>
      </w:r>
    </w:p>
    <w:p w14:paraId="47A5324F" w14:textId="0F829D60" w:rsidR="00147040" w:rsidRDefault="00147040" w:rsidP="00280E01">
      <w:pPr>
        <w:pStyle w:val="ListParagraph"/>
        <w:numPr>
          <w:ilvl w:val="1"/>
          <w:numId w:val="3"/>
        </w:numPr>
      </w:pPr>
      <w:r w:rsidRPr="00D14004">
        <w:t xml:space="preserve">Attendance/Participation: </w:t>
      </w:r>
      <w:r>
        <w:tab/>
      </w:r>
      <w:r w:rsidRPr="00D14004">
        <w:t xml:space="preserve">30 Points </w:t>
      </w:r>
    </w:p>
    <w:p w14:paraId="2787CAF4" w14:textId="3AB96E31" w:rsidR="00147040" w:rsidRDefault="00147040" w:rsidP="00280E01">
      <w:pPr>
        <w:pStyle w:val="ListParagraph"/>
        <w:numPr>
          <w:ilvl w:val="1"/>
          <w:numId w:val="3"/>
        </w:numPr>
      </w:pPr>
      <w:r w:rsidRPr="00D14004">
        <w:t xml:space="preserve">Total Course Requirements: </w:t>
      </w:r>
      <w:r>
        <w:t xml:space="preserve"> </w:t>
      </w:r>
      <w:r>
        <w:tab/>
      </w:r>
      <w:r w:rsidRPr="00D14004">
        <w:t>1000 points maximum</w:t>
      </w:r>
    </w:p>
    <w:p w14:paraId="31AE8E61" w14:textId="77777777" w:rsidR="006462E0" w:rsidRPr="00233C0A" w:rsidRDefault="006462E0" w:rsidP="00233C0A"/>
    <w:p w14:paraId="31AE8E62" w14:textId="77777777" w:rsidR="006462E0" w:rsidRPr="00104EE2" w:rsidRDefault="00D91EA6" w:rsidP="00233C0A">
      <w:pPr>
        <w:rPr>
          <w:b/>
          <w:bCs/>
        </w:rPr>
      </w:pPr>
      <w:r w:rsidRPr="00104EE2">
        <w:rPr>
          <w:b/>
          <w:bCs/>
        </w:rPr>
        <w:t>GRADING SCALE</w:t>
      </w:r>
    </w:p>
    <w:p w14:paraId="02186E1D" w14:textId="77777777" w:rsidR="005D1E13" w:rsidRDefault="005D1E13" w:rsidP="005D1E13">
      <w:pPr>
        <w:ind w:left="1440" w:firstLine="720"/>
      </w:pPr>
      <w:r w:rsidRPr="00D14004">
        <w:t xml:space="preserve">900 to 1000 points </w:t>
      </w:r>
      <w:r>
        <w:tab/>
      </w:r>
      <w:r w:rsidRPr="00D14004">
        <w:t>(90%-100%): A</w:t>
      </w:r>
    </w:p>
    <w:p w14:paraId="7E450AED" w14:textId="77777777" w:rsidR="005D1E13" w:rsidRDefault="005D1E13" w:rsidP="005D1E13">
      <w:pPr>
        <w:ind w:left="2160"/>
      </w:pPr>
      <w:r w:rsidRPr="00D14004">
        <w:t xml:space="preserve">800 to 899 points </w:t>
      </w:r>
      <w:r>
        <w:tab/>
      </w:r>
      <w:r w:rsidRPr="00D14004">
        <w:t>(80%-89%): B</w:t>
      </w:r>
    </w:p>
    <w:p w14:paraId="39C10F60" w14:textId="77777777" w:rsidR="005D1E13" w:rsidRDefault="005D1E13" w:rsidP="005D1E13">
      <w:pPr>
        <w:ind w:left="2160"/>
      </w:pPr>
      <w:r w:rsidRPr="00D14004">
        <w:t xml:space="preserve">700 to 799 points </w:t>
      </w:r>
      <w:r>
        <w:tab/>
      </w:r>
      <w:r w:rsidRPr="00D14004">
        <w:t>(70%-79%): C</w:t>
      </w:r>
    </w:p>
    <w:p w14:paraId="3E77A839" w14:textId="77777777" w:rsidR="005D1E13" w:rsidRDefault="005D1E13" w:rsidP="005D1E13">
      <w:pPr>
        <w:ind w:left="2160"/>
      </w:pPr>
      <w:r w:rsidRPr="00D14004">
        <w:t xml:space="preserve">600 to 699 points </w:t>
      </w:r>
      <w:r>
        <w:tab/>
      </w:r>
      <w:r w:rsidRPr="00D14004">
        <w:t>(60%-69%): D</w:t>
      </w:r>
    </w:p>
    <w:p w14:paraId="0F7D5E17" w14:textId="77777777" w:rsidR="005D1E13" w:rsidRDefault="005D1E13" w:rsidP="005D1E13">
      <w:pPr>
        <w:ind w:left="2160"/>
      </w:pPr>
      <w:r w:rsidRPr="00D14004">
        <w:t xml:space="preserve">Under 599 points </w:t>
      </w:r>
      <w:r>
        <w:tab/>
      </w:r>
      <w:r w:rsidRPr="00D14004">
        <w:t>(0%-59%): F</w:t>
      </w:r>
    </w:p>
    <w:p w14:paraId="1FE3DCA3" w14:textId="77777777" w:rsidR="00B352E6" w:rsidRDefault="00B352E6" w:rsidP="005D1E13">
      <w:pPr>
        <w:ind w:left="2160"/>
      </w:pPr>
    </w:p>
    <w:p w14:paraId="73F8388F" w14:textId="77777777" w:rsidR="00B352E6" w:rsidRPr="00773456" w:rsidRDefault="00B352E6" w:rsidP="00B352E6">
      <w:pPr>
        <w:pStyle w:val="ListParagraph"/>
        <w:widowControl/>
        <w:numPr>
          <w:ilvl w:val="0"/>
          <w:numId w:val="4"/>
        </w:numPr>
        <w:rPr>
          <w:rFonts w:eastAsia="Times New Roman" w:cs="Arial"/>
          <w:sz w:val="24"/>
          <w:szCs w:val="24"/>
        </w:rPr>
      </w:pPr>
      <w:r w:rsidRPr="00773456">
        <w:rPr>
          <w:rFonts w:eastAsia="Times New Roman" w:cs="Arial"/>
          <w:sz w:val="24"/>
          <w:szCs w:val="24"/>
        </w:rPr>
        <w:t>Assignments are normally due on Tuesdays by MIDNIGHT. Exceptions will be annotated as needed and communicated separately. Late assignments are accepted, but with a grade penalty:</w:t>
      </w:r>
    </w:p>
    <w:p w14:paraId="149EB406" w14:textId="77777777" w:rsidR="00B352E6" w:rsidRPr="00A85C93" w:rsidRDefault="00B352E6" w:rsidP="00B352E6">
      <w:pPr>
        <w:widowControl/>
        <w:ind w:left="1440" w:firstLine="720"/>
        <w:rPr>
          <w:rFonts w:eastAsia="Times New Roman" w:cs="Arial"/>
          <w:sz w:val="24"/>
          <w:szCs w:val="24"/>
        </w:rPr>
      </w:pPr>
    </w:p>
    <w:p w14:paraId="276CF737" w14:textId="77777777" w:rsidR="00B352E6" w:rsidRPr="00773456" w:rsidRDefault="00B352E6" w:rsidP="00B352E6">
      <w:pPr>
        <w:pStyle w:val="ListParagraph"/>
        <w:widowControl/>
        <w:numPr>
          <w:ilvl w:val="2"/>
          <w:numId w:val="4"/>
        </w:numPr>
        <w:rPr>
          <w:rFonts w:eastAsia="Times New Roman" w:cs="Arial"/>
          <w:sz w:val="24"/>
          <w:szCs w:val="24"/>
        </w:rPr>
      </w:pPr>
      <w:r w:rsidRPr="00773456">
        <w:rPr>
          <w:rFonts w:eastAsia="Times New Roman" w:cs="Arial"/>
          <w:sz w:val="24"/>
          <w:szCs w:val="24"/>
        </w:rPr>
        <w:t xml:space="preserve">1 day late </w:t>
      </w:r>
      <w:r w:rsidRPr="00773456">
        <w:rPr>
          <w:rFonts w:eastAsia="Times New Roman" w:cs="Arial"/>
          <w:sz w:val="24"/>
          <w:szCs w:val="24"/>
        </w:rPr>
        <w:tab/>
      </w:r>
      <w:r w:rsidRPr="00773456">
        <w:rPr>
          <w:rFonts w:eastAsia="Times New Roman" w:cs="Arial"/>
          <w:sz w:val="24"/>
          <w:szCs w:val="24"/>
        </w:rPr>
        <w:tab/>
        <w:t>90% of the Maximum Grade</w:t>
      </w:r>
    </w:p>
    <w:p w14:paraId="1A54B2D4" w14:textId="77777777" w:rsidR="00B352E6" w:rsidRPr="00773456" w:rsidRDefault="00B352E6" w:rsidP="00B352E6">
      <w:pPr>
        <w:pStyle w:val="ListParagraph"/>
        <w:widowControl/>
        <w:numPr>
          <w:ilvl w:val="2"/>
          <w:numId w:val="4"/>
        </w:numPr>
        <w:rPr>
          <w:rFonts w:eastAsia="Times New Roman" w:cs="Arial"/>
          <w:sz w:val="24"/>
          <w:szCs w:val="24"/>
        </w:rPr>
      </w:pPr>
      <w:r w:rsidRPr="00773456">
        <w:rPr>
          <w:rFonts w:eastAsia="Times New Roman" w:cs="Arial"/>
          <w:sz w:val="24"/>
          <w:szCs w:val="24"/>
        </w:rPr>
        <w:t xml:space="preserve">2 days late </w:t>
      </w:r>
      <w:r w:rsidRPr="00773456">
        <w:rPr>
          <w:rFonts w:eastAsia="Times New Roman" w:cs="Arial"/>
          <w:sz w:val="24"/>
          <w:szCs w:val="24"/>
        </w:rPr>
        <w:tab/>
      </w:r>
      <w:r w:rsidRPr="00773456">
        <w:rPr>
          <w:rFonts w:eastAsia="Times New Roman" w:cs="Arial"/>
          <w:sz w:val="24"/>
          <w:szCs w:val="24"/>
        </w:rPr>
        <w:tab/>
        <w:t>80% of the Maximum Grade</w:t>
      </w:r>
    </w:p>
    <w:p w14:paraId="3E5D2B2F" w14:textId="77777777" w:rsidR="00B352E6" w:rsidRPr="00773456" w:rsidRDefault="00B352E6" w:rsidP="00B352E6">
      <w:pPr>
        <w:pStyle w:val="ListParagraph"/>
        <w:widowControl/>
        <w:numPr>
          <w:ilvl w:val="2"/>
          <w:numId w:val="4"/>
        </w:numPr>
        <w:rPr>
          <w:rFonts w:eastAsia="Times New Roman" w:cs="Arial"/>
          <w:sz w:val="24"/>
          <w:szCs w:val="24"/>
        </w:rPr>
      </w:pPr>
      <w:r w:rsidRPr="00773456">
        <w:rPr>
          <w:rFonts w:eastAsia="Times New Roman" w:cs="Arial"/>
          <w:sz w:val="24"/>
          <w:szCs w:val="24"/>
        </w:rPr>
        <w:t xml:space="preserve">3 days late </w:t>
      </w:r>
      <w:r w:rsidRPr="00773456">
        <w:rPr>
          <w:rFonts w:eastAsia="Times New Roman" w:cs="Arial"/>
          <w:sz w:val="24"/>
          <w:szCs w:val="24"/>
        </w:rPr>
        <w:tab/>
      </w:r>
      <w:r w:rsidRPr="00773456">
        <w:rPr>
          <w:rFonts w:eastAsia="Times New Roman" w:cs="Arial"/>
          <w:sz w:val="24"/>
          <w:szCs w:val="24"/>
        </w:rPr>
        <w:tab/>
        <w:t>70% of the Maximum Grade</w:t>
      </w:r>
    </w:p>
    <w:p w14:paraId="174E7E72" w14:textId="77777777" w:rsidR="00B352E6" w:rsidRDefault="00B352E6" w:rsidP="00B352E6">
      <w:pPr>
        <w:pStyle w:val="ListParagraph"/>
        <w:widowControl/>
        <w:numPr>
          <w:ilvl w:val="2"/>
          <w:numId w:val="4"/>
        </w:numPr>
        <w:rPr>
          <w:rFonts w:eastAsia="Times New Roman" w:cs="Arial"/>
          <w:sz w:val="24"/>
          <w:szCs w:val="24"/>
        </w:rPr>
      </w:pPr>
      <w:r w:rsidRPr="00773456">
        <w:rPr>
          <w:rFonts w:eastAsia="Times New Roman" w:cs="Arial"/>
          <w:sz w:val="24"/>
          <w:szCs w:val="24"/>
        </w:rPr>
        <w:t xml:space="preserve">Greater than 3 days </w:t>
      </w:r>
      <w:r w:rsidRPr="00773456">
        <w:rPr>
          <w:rFonts w:eastAsia="Times New Roman" w:cs="Arial"/>
          <w:sz w:val="24"/>
          <w:szCs w:val="24"/>
        </w:rPr>
        <w:tab/>
        <w:t>No Credit</w:t>
      </w:r>
    </w:p>
    <w:p w14:paraId="62D4472B" w14:textId="77777777" w:rsidR="00B352E6" w:rsidRPr="00773456" w:rsidRDefault="00B352E6" w:rsidP="00B352E6">
      <w:pPr>
        <w:pStyle w:val="ListParagraph"/>
        <w:widowControl/>
        <w:ind w:left="2160" w:firstLine="0"/>
        <w:rPr>
          <w:rFonts w:eastAsia="Times New Roman" w:cs="Arial"/>
          <w:sz w:val="24"/>
          <w:szCs w:val="24"/>
        </w:rPr>
      </w:pPr>
    </w:p>
    <w:p w14:paraId="3955A31F" w14:textId="77777777" w:rsidR="00B352E6" w:rsidRPr="00773456" w:rsidRDefault="00B352E6" w:rsidP="00B352E6">
      <w:pPr>
        <w:pStyle w:val="ListParagraph"/>
        <w:widowControl/>
        <w:numPr>
          <w:ilvl w:val="0"/>
          <w:numId w:val="4"/>
        </w:numPr>
        <w:rPr>
          <w:rFonts w:eastAsia="Times New Roman" w:cs="Arial"/>
          <w:sz w:val="24"/>
          <w:szCs w:val="24"/>
        </w:rPr>
      </w:pPr>
      <w:r w:rsidRPr="00773456">
        <w:rPr>
          <w:rFonts w:eastAsia="Times New Roman" w:cs="Arial"/>
          <w:sz w:val="24"/>
          <w:szCs w:val="24"/>
        </w:rPr>
        <w:t xml:space="preserve">Exceptions to the late policy are possible to accommodate extenuating </w:t>
      </w:r>
      <w:proofErr w:type="gramStart"/>
      <w:r w:rsidRPr="00773456">
        <w:rPr>
          <w:rFonts w:eastAsia="Times New Roman" w:cs="Arial"/>
          <w:sz w:val="24"/>
          <w:szCs w:val="24"/>
        </w:rPr>
        <w:t>circumstances, but</w:t>
      </w:r>
      <w:proofErr w:type="gramEnd"/>
      <w:r w:rsidRPr="00773456">
        <w:rPr>
          <w:rFonts w:eastAsia="Times New Roman" w:cs="Arial"/>
          <w:sz w:val="24"/>
          <w:szCs w:val="24"/>
        </w:rPr>
        <w:t xml:space="preserve"> must be coordinated and approved by the instructor in advance. </w:t>
      </w:r>
    </w:p>
    <w:p w14:paraId="31AE8E63" w14:textId="77777777" w:rsidR="006462E0" w:rsidRPr="00233C0A" w:rsidRDefault="006462E0" w:rsidP="00233C0A"/>
    <w:p w14:paraId="7A4C613A" w14:textId="046ABDC8" w:rsidR="00760D01" w:rsidRDefault="00D91EA6" w:rsidP="00233C0A">
      <w:pPr>
        <w:rPr>
          <w:b/>
          <w:bCs/>
        </w:rPr>
      </w:pPr>
      <w:r w:rsidRPr="00104EE2">
        <w:rPr>
          <w:b/>
          <w:bCs/>
        </w:rPr>
        <w:t>SPECIAL COURSE REQUIREMENTS</w:t>
      </w:r>
      <w:r w:rsidR="00F423FC">
        <w:rPr>
          <w:b/>
          <w:bCs/>
        </w:rPr>
        <w:t xml:space="preserve">: </w:t>
      </w:r>
      <w:r w:rsidR="00F423FC" w:rsidRPr="00F423FC">
        <w:t>None</w:t>
      </w:r>
    </w:p>
    <w:p w14:paraId="15A01FFA" w14:textId="77777777" w:rsidR="00F423FC" w:rsidRPr="00F423FC" w:rsidRDefault="00F423FC" w:rsidP="00233C0A">
      <w:pPr>
        <w:rPr>
          <w:b/>
          <w:bCs/>
        </w:rPr>
      </w:pPr>
    </w:p>
    <w:p w14:paraId="70CE5C74" w14:textId="1296471E" w:rsidR="00760D01" w:rsidRDefault="00D91EA6" w:rsidP="00233C0A">
      <w:r w:rsidRPr="00104EE2">
        <w:rPr>
          <w:b/>
          <w:bCs/>
        </w:rPr>
        <w:t>ATTENDANCE POLICY</w:t>
      </w:r>
      <w:r w:rsidR="00F423FC">
        <w:rPr>
          <w:b/>
          <w:bCs/>
        </w:rPr>
        <w:t xml:space="preserve">: </w:t>
      </w:r>
      <w:r w:rsidR="00F423FC" w:rsidRPr="00524E1C">
        <w:t>Section Specific –</w:t>
      </w:r>
      <w:r w:rsidR="00F423FC">
        <w:rPr>
          <w:b/>
          <w:bCs/>
        </w:rPr>
        <w:t xml:space="preserve"> </w:t>
      </w:r>
      <w:r w:rsidR="00F423FC" w:rsidRPr="00876740">
        <w:t>Class Participation will be set by each individual instructor.</w:t>
      </w:r>
    </w:p>
    <w:p w14:paraId="0468186F" w14:textId="77777777" w:rsidR="00F423FC" w:rsidRPr="00104EE2" w:rsidRDefault="00F423FC" w:rsidP="00233C0A">
      <w:pPr>
        <w:rPr>
          <w:b/>
          <w:bCs/>
        </w:rPr>
      </w:pPr>
    </w:p>
    <w:p w14:paraId="31AE8E6F" w14:textId="77777777" w:rsidR="006462E0" w:rsidRPr="00104EE2" w:rsidRDefault="00D91EA6" w:rsidP="00233C0A">
      <w:pPr>
        <w:rPr>
          <w:b/>
          <w:bCs/>
        </w:rPr>
      </w:pPr>
      <w:r w:rsidRPr="00104EE2">
        <w:rPr>
          <w:b/>
          <w:bCs/>
        </w:rPr>
        <w:t>COLLEGE SYLLABUS STATEMENTS</w:t>
      </w:r>
    </w:p>
    <w:p w14:paraId="31AE8E70" w14:textId="29B82043" w:rsidR="006462E0" w:rsidRPr="00233C0A" w:rsidRDefault="00D91EA6" w:rsidP="00233C0A">
      <w:r w:rsidRPr="00233C0A">
        <w:t xml:space="preserve">Columbus State Community College required College Syllabus Statements on College Policies and Student Support Services can be found at </w:t>
      </w:r>
      <w:hyperlink r:id="rId9">
        <w:r w:rsidRPr="00233C0A">
          <w:rPr>
            <w:rStyle w:val="Hyperlink"/>
          </w:rPr>
          <w:t>www.cscc.edu/syllabus</w:t>
        </w:r>
      </w:hyperlink>
      <w:r w:rsidRPr="00233C0A">
        <w:t xml:space="preserve"> or on the College website Quick Links “Syllabus </w:t>
      </w:r>
      <w:r w:rsidRPr="00233C0A">
        <w:lastRenderedPageBreak/>
        <w:t>Statements”.</w:t>
      </w:r>
    </w:p>
    <w:p w14:paraId="301C8F6B" w14:textId="77777777" w:rsidR="00104EE2" w:rsidRDefault="00104EE2" w:rsidP="00233C0A"/>
    <w:p w14:paraId="31AE8E73" w14:textId="22340D50" w:rsidR="006462E0" w:rsidRDefault="00D91EA6" w:rsidP="00F423FC">
      <w:r w:rsidRPr="00104EE2">
        <w:rPr>
          <w:b/>
          <w:bCs/>
        </w:rPr>
        <w:t>WEATHER RELATED DEPARTMENT SPECIFIC POLICY</w:t>
      </w:r>
      <w:r w:rsidR="00F423FC">
        <w:rPr>
          <w:b/>
          <w:bCs/>
        </w:rPr>
        <w:t xml:space="preserve">: </w:t>
      </w:r>
      <w:r w:rsidR="00F423FC" w:rsidRPr="00893042">
        <w:t>Covered by College Policy</w:t>
      </w:r>
    </w:p>
    <w:p w14:paraId="1A51720E" w14:textId="77777777" w:rsidR="00F423FC" w:rsidRDefault="00F423FC" w:rsidP="00F423FC"/>
    <w:p w14:paraId="31AE8E76" w14:textId="3F0EB4EA" w:rsidR="006462E0" w:rsidRPr="00C046A0" w:rsidRDefault="00D91EA6" w:rsidP="00347BE9">
      <w:pPr>
        <w:rPr>
          <w:rFonts w:asciiTheme="minorHAnsi" w:hAnsiTheme="minorHAnsi" w:cstheme="minorHAnsi"/>
        </w:rPr>
      </w:pPr>
      <w:r w:rsidRPr="00A86695">
        <w:rPr>
          <w:b/>
          <w:bCs/>
        </w:rPr>
        <w:t xml:space="preserve">UNITS OF INSTRUCTION </w:t>
      </w:r>
    </w:p>
    <w:p w14:paraId="31AE8E77" w14:textId="77777777" w:rsidR="006462E0" w:rsidRPr="00C046A0" w:rsidRDefault="006462E0">
      <w:pPr>
        <w:pStyle w:val="BodyText"/>
        <w:spacing w:before="49"/>
        <w:ind w:left="0" w:firstLine="0"/>
        <w:rPr>
          <w:rFonts w:asciiTheme="minorHAnsi" w:hAnsiTheme="minorHAnsi" w:cstheme="minorHAnsi"/>
          <w:b w:val="0"/>
          <w:sz w:val="22"/>
          <w:szCs w:val="22"/>
        </w:rPr>
      </w:pPr>
    </w:p>
    <w:tbl>
      <w:tblPr>
        <w:tblW w:w="1125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0"/>
        <w:gridCol w:w="1880"/>
        <w:gridCol w:w="3240"/>
        <w:gridCol w:w="1530"/>
        <w:gridCol w:w="1530"/>
        <w:gridCol w:w="1530"/>
      </w:tblGrid>
      <w:tr w:rsidR="006462E0" w:rsidRPr="00C046A0" w14:paraId="31AE8E82" w14:textId="77777777" w:rsidTr="00053564">
        <w:trPr>
          <w:trHeight w:val="368"/>
        </w:trPr>
        <w:tc>
          <w:tcPr>
            <w:tcW w:w="1540" w:type="dxa"/>
          </w:tcPr>
          <w:p w14:paraId="31AE8E78" w14:textId="77777777" w:rsidR="006462E0" w:rsidRPr="00C046A0" w:rsidRDefault="006462E0">
            <w:pPr>
              <w:pStyle w:val="TableParagraph"/>
              <w:rPr>
                <w:rFonts w:asciiTheme="minorHAnsi" w:hAnsiTheme="minorHAnsi" w:cstheme="minorHAnsi"/>
              </w:rPr>
            </w:pPr>
          </w:p>
        </w:tc>
        <w:tc>
          <w:tcPr>
            <w:tcW w:w="1880" w:type="dxa"/>
          </w:tcPr>
          <w:p w14:paraId="31AE8E79" w14:textId="77777777" w:rsidR="006462E0" w:rsidRPr="00C046A0" w:rsidRDefault="00D91EA6">
            <w:pPr>
              <w:pStyle w:val="TableParagraph"/>
              <w:spacing w:line="292" w:lineRule="exact"/>
              <w:ind w:left="107"/>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1"/>
              </w:rPr>
              <w:t xml:space="preserve"> </w:t>
            </w:r>
            <w:r w:rsidRPr="00C046A0">
              <w:rPr>
                <w:rFonts w:asciiTheme="minorHAnsi" w:hAnsiTheme="minorHAnsi" w:cstheme="minorHAnsi"/>
                <w:b/>
                <w:spacing w:val="-5"/>
              </w:rPr>
              <w:t>OF</w:t>
            </w:r>
          </w:p>
          <w:p w14:paraId="31AE8E7A" w14:textId="77777777" w:rsidR="006462E0" w:rsidRPr="00C046A0" w:rsidRDefault="00D91EA6">
            <w:pPr>
              <w:pStyle w:val="TableParagraph"/>
              <w:spacing w:line="273" w:lineRule="exact"/>
              <w:ind w:left="107"/>
              <w:rPr>
                <w:rFonts w:asciiTheme="minorHAnsi" w:hAnsiTheme="minorHAnsi" w:cstheme="minorHAnsi"/>
                <w:b/>
              </w:rPr>
            </w:pPr>
            <w:r w:rsidRPr="00C046A0">
              <w:rPr>
                <w:rFonts w:asciiTheme="minorHAnsi" w:hAnsiTheme="minorHAnsi" w:cstheme="minorHAnsi"/>
                <w:b/>
                <w:spacing w:val="-2"/>
              </w:rPr>
              <w:t>INSTRUCTION</w:t>
            </w:r>
          </w:p>
        </w:tc>
        <w:tc>
          <w:tcPr>
            <w:tcW w:w="3240" w:type="dxa"/>
          </w:tcPr>
          <w:p w14:paraId="31AE8E7B" w14:textId="77777777" w:rsidR="006462E0" w:rsidRPr="00C046A0" w:rsidRDefault="00D91EA6">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LEARNING</w:t>
            </w:r>
          </w:p>
          <w:p w14:paraId="31AE8E7C" w14:textId="77777777" w:rsidR="006462E0" w:rsidRPr="00C046A0" w:rsidRDefault="00D91EA6">
            <w:pPr>
              <w:pStyle w:val="TableParagraph"/>
              <w:spacing w:line="273" w:lineRule="exact"/>
              <w:ind w:left="107"/>
              <w:rPr>
                <w:rFonts w:asciiTheme="minorHAnsi" w:hAnsiTheme="minorHAnsi" w:cstheme="minorHAnsi"/>
                <w:b/>
              </w:rPr>
            </w:pPr>
            <w:r w:rsidRPr="00C046A0">
              <w:rPr>
                <w:rFonts w:asciiTheme="minorHAnsi" w:hAnsiTheme="minorHAnsi" w:cstheme="minorHAnsi"/>
                <w:b/>
                <w:spacing w:val="-2"/>
              </w:rPr>
              <w:t>OBJECTIVES/GOALS</w:t>
            </w:r>
          </w:p>
        </w:tc>
        <w:tc>
          <w:tcPr>
            <w:tcW w:w="1530" w:type="dxa"/>
          </w:tcPr>
          <w:p w14:paraId="31AE8E7D" w14:textId="77777777" w:rsidR="006462E0" w:rsidRPr="00C046A0" w:rsidRDefault="00D91EA6">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ASSESSMENT</w:t>
            </w:r>
          </w:p>
          <w:p w14:paraId="31AE8E7E" w14:textId="77777777" w:rsidR="006462E0" w:rsidRPr="00C046A0" w:rsidRDefault="00D91EA6">
            <w:pPr>
              <w:pStyle w:val="TableParagraph"/>
              <w:spacing w:line="273" w:lineRule="exact"/>
              <w:ind w:left="107"/>
              <w:rPr>
                <w:rFonts w:asciiTheme="minorHAnsi" w:hAnsiTheme="minorHAnsi" w:cstheme="minorHAnsi"/>
                <w:b/>
              </w:rPr>
            </w:pPr>
            <w:r w:rsidRPr="00C046A0">
              <w:rPr>
                <w:rFonts w:asciiTheme="minorHAnsi" w:hAnsiTheme="minorHAnsi" w:cstheme="minorHAnsi"/>
                <w:b/>
                <w:spacing w:val="-2"/>
              </w:rPr>
              <w:t>METHODS</w:t>
            </w:r>
          </w:p>
        </w:tc>
        <w:tc>
          <w:tcPr>
            <w:tcW w:w="1530" w:type="dxa"/>
          </w:tcPr>
          <w:p w14:paraId="31AE8E7F" w14:textId="77777777" w:rsidR="006462E0" w:rsidRPr="00C046A0" w:rsidRDefault="00D91EA6">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ASSIGNMENTS</w:t>
            </w:r>
          </w:p>
        </w:tc>
        <w:tc>
          <w:tcPr>
            <w:tcW w:w="1530" w:type="dxa"/>
          </w:tcPr>
          <w:p w14:paraId="31AE8E80" w14:textId="77777777" w:rsidR="006462E0" w:rsidRPr="00C046A0" w:rsidRDefault="00D91EA6">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ASSIGNMENT</w:t>
            </w:r>
          </w:p>
          <w:p w14:paraId="31AE8E81" w14:textId="77777777" w:rsidR="006462E0" w:rsidRPr="00C046A0" w:rsidRDefault="00D91EA6">
            <w:pPr>
              <w:pStyle w:val="TableParagraph"/>
              <w:spacing w:line="273" w:lineRule="exact"/>
              <w:ind w:left="107"/>
              <w:rPr>
                <w:rFonts w:asciiTheme="minorHAnsi" w:hAnsiTheme="minorHAnsi" w:cstheme="minorHAnsi"/>
                <w:b/>
              </w:rPr>
            </w:pPr>
            <w:r w:rsidRPr="00C046A0">
              <w:rPr>
                <w:rFonts w:asciiTheme="minorHAnsi" w:hAnsiTheme="minorHAnsi" w:cstheme="minorHAnsi"/>
                <w:b/>
              </w:rPr>
              <w:t>DUE</w:t>
            </w:r>
            <w:r w:rsidRPr="00C046A0">
              <w:rPr>
                <w:rFonts w:asciiTheme="minorHAnsi" w:hAnsiTheme="minorHAnsi" w:cstheme="minorHAnsi"/>
                <w:b/>
                <w:spacing w:val="-2"/>
              </w:rPr>
              <w:t xml:space="preserve"> </w:t>
            </w:r>
            <w:r w:rsidRPr="00C046A0">
              <w:rPr>
                <w:rFonts w:asciiTheme="minorHAnsi" w:hAnsiTheme="minorHAnsi" w:cstheme="minorHAnsi"/>
                <w:b/>
                <w:spacing w:val="-4"/>
              </w:rPr>
              <w:t>DATE</w:t>
            </w:r>
          </w:p>
        </w:tc>
      </w:tr>
      <w:tr w:rsidR="006462E0" w:rsidRPr="00C046A0" w14:paraId="31AE8E89" w14:textId="77777777" w:rsidTr="00053564">
        <w:trPr>
          <w:trHeight w:val="70"/>
        </w:trPr>
        <w:tc>
          <w:tcPr>
            <w:tcW w:w="1540" w:type="dxa"/>
          </w:tcPr>
          <w:p w14:paraId="04B3B5AF" w14:textId="77777777" w:rsidR="006462E0" w:rsidRDefault="00D91EA6">
            <w:pPr>
              <w:pStyle w:val="TableParagraph"/>
              <w:spacing w:before="1"/>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1</w:t>
            </w:r>
          </w:p>
          <w:p w14:paraId="31AE8E83" w14:textId="77777777" w:rsidR="00C046A0" w:rsidRPr="00C046A0" w:rsidRDefault="00C046A0">
            <w:pPr>
              <w:pStyle w:val="TableParagraph"/>
              <w:spacing w:before="1"/>
              <w:ind w:left="107" w:right="132"/>
              <w:rPr>
                <w:rFonts w:asciiTheme="minorHAnsi" w:hAnsiTheme="minorHAnsi" w:cstheme="minorHAnsi"/>
                <w:b/>
              </w:rPr>
            </w:pPr>
          </w:p>
        </w:tc>
        <w:tc>
          <w:tcPr>
            <w:tcW w:w="1880" w:type="dxa"/>
          </w:tcPr>
          <w:p w14:paraId="31AE8E84" w14:textId="0A5CCB5B" w:rsidR="006462E0" w:rsidRPr="00C046A0" w:rsidRDefault="005F04EB">
            <w:pPr>
              <w:pStyle w:val="TableParagraph"/>
              <w:rPr>
                <w:rFonts w:asciiTheme="minorHAnsi" w:hAnsiTheme="minorHAnsi" w:cstheme="minorHAnsi"/>
              </w:rPr>
            </w:pPr>
            <w:r>
              <w:rPr>
                <w:rFonts w:asciiTheme="minorHAnsi" w:hAnsiTheme="minorHAnsi" w:cstheme="minorHAnsi"/>
              </w:rPr>
              <w:t>First Assignment</w:t>
            </w:r>
          </w:p>
        </w:tc>
        <w:tc>
          <w:tcPr>
            <w:tcW w:w="3240" w:type="dxa"/>
          </w:tcPr>
          <w:p w14:paraId="31AE8E85" w14:textId="35D5C3C6" w:rsidR="006462E0" w:rsidRPr="00C046A0" w:rsidRDefault="005F04EB">
            <w:pPr>
              <w:pStyle w:val="TableParagraph"/>
              <w:rPr>
                <w:rFonts w:asciiTheme="minorHAnsi" w:hAnsiTheme="minorHAnsi" w:cstheme="minorHAnsi"/>
              </w:rPr>
            </w:pPr>
            <w:r>
              <w:rPr>
                <w:rFonts w:asciiTheme="minorHAnsi" w:hAnsiTheme="minorHAnsi" w:cstheme="minorHAnsi"/>
              </w:rPr>
              <w:t>Email assignment</w:t>
            </w:r>
          </w:p>
        </w:tc>
        <w:tc>
          <w:tcPr>
            <w:tcW w:w="1530" w:type="dxa"/>
          </w:tcPr>
          <w:p w14:paraId="31AE8E86" w14:textId="27BFD028" w:rsidR="006462E0" w:rsidRPr="00C046A0" w:rsidRDefault="005F04EB">
            <w:pPr>
              <w:pStyle w:val="TableParagraph"/>
              <w:rPr>
                <w:rFonts w:asciiTheme="minorHAnsi" w:hAnsiTheme="minorHAnsi" w:cstheme="minorHAnsi"/>
              </w:rPr>
            </w:pPr>
            <w:r>
              <w:rPr>
                <w:rFonts w:asciiTheme="minorHAnsi" w:hAnsiTheme="minorHAnsi" w:cstheme="minorHAnsi"/>
              </w:rPr>
              <w:t>Email</w:t>
            </w:r>
          </w:p>
        </w:tc>
        <w:tc>
          <w:tcPr>
            <w:tcW w:w="1530" w:type="dxa"/>
          </w:tcPr>
          <w:p w14:paraId="31AE8E87" w14:textId="5DE572E8" w:rsidR="006462E0" w:rsidRPr="00C046A0" w:rsidRDefault="00053564">
            <w:pPr>
              <w:pStyle w:val="TableParagraph"/>
              <w:rPr>
                <w:rFonts w:asciiTheme="minorHAnsi" w:hAnsiTheme="minorHAnsi" w:cstheme="minorHAnsi"/>
              </w:rPr>
            </w:pPr>
            <w:r>
              <w:rPr>
                <w:rFonts w:asciiTheme="minorHAnsi" w:hAnsiTheme="minorHAnsi" w:cstheme="minorHAnsi"/>
              </w:rPr>
              <w:t>Obtain course Materials</w:t>
            </w:r>
          </w:p>
        </w:tc>
        <w:tc>
          <w:tcPr>
            <w:tcW w:w="1530" w:type="dxa"/>
          </w:tcPr>
          <w:p w14:paraId="31AE8E88" w14:textId="27CE5491" w:rsidR="006462E0" w:rsidRPr="00C046A0" w:rsidRDefault="005F04EB">
            <w:pPr>
              <w:pStyle w:val="TableParagraph"/>
              <w:rPr>
                <w:rFonts w:asciiTheme="minorHAnsi" w:hAnsiTheme="minorHAnsi" w:cstheme="minorHAnsi"/>
              </w:rPr>
            </w:pPr>
            <w:r>
              <w:rPr>
                <w:rFonts w:asciiTheme="minorHAnsi" w:hAnsiTheme="minorHAnsi" w:cstheme="minorHAnsi"/>
              </w:rPr>
              <w:t>9/3</w:t>
            </w:r>
          </w:p>
        </w:tc>
      </w:tr>
      <w:tr w:rsidR="006462E0" w:rsidRPr="00C046A0" w14:paraId="31AE8E90" w14:textId="77777777" w:rsidTr="00053564">
        <w:trPr>
          <w:trHeight w:val="118"/>
        </w:trPr>
        <w:tc>
          <w:tcPr>
            <w:tcW w:w="1540" w:type="dxa"/>
          </w:tcPr>
          <w:p w14:paraId="0483CAB9" w14:textId="77777777" w:rsidR="006462E0" w:rsidRDefault="00D91EA6">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2</w:t>
            </w:r>
          </w:p>
          <w:p w14:paraId="31AE8E8A" w14:textId="5D4ABC9D" w:rsidR="00C046A0" w:rsidRPr="00C046A0" w:rsidRDefault="00C046A0">
            <w:pPr>
              <w:pStyle w:val="TableParagraph"/>
              <w:ind w:left="107" w:right="132"/>
              <w:rPr>
                <w:rFonts w:asciiTheme="minorHAnsi" w:hAnsiTheme="minorHAnsi" w:cstheme="minorHAnsi"/>
                <w:b/>
              </w:rPr>
            </w:pPr>
          </w:p>
        </w:tc>
        <w:tc>
          <w:tcPr>
            <w:tcW w:w="1880" w:type="dxa"/>
          </w:tcPr>
          <w:p w14:paraId="31AE8E8B" w14:textId="0015017C" w:rsidR="006462E0" w:rsidRPr="00C046A0" w:rsidRDefault="005F04EB">
            <w:pPr>
              <w:pStyle w:val="TableParagraph"/>
              <w:rPr>
                <w:rFonts w:asciiTheme="minorHAnsi" w:hAnsiTheme="minorHAnsi" w:cstheme="minorHAnsi"/>
              </w:rPr>
            </w:pPr>
            <w:r>
              <w:rPr>
                <w:rFonts w:asciiTheme="minorHAnsi" w:hAnsiTheme="minorHAnsi" w:cstheme="minorHAnsi"/>
              </w:rPr>
              <w:t>Import Policies/Procedures</w:t>
            </w:r>
          </w:p>
        </w:tc>
        <w:tc>
          <w:tcPr>
            <w:tcW w:w="3240" w:type="dxa"/>
          </w:tcPr>
          <w:p w14:paraId="31AE8E8C" w14:textId="678EAF28" w:rsidR="006462E0" w:rsidRPr="00C046A0" w:rsidRDefault="005F04EB">
            <w:pPr>
              <w:pStyle w:val="TableParagraph"/>
              <w:rPr>
                <w:rFonts w:asciiTheme="minorHAnsi" w:hAnsiTheme="minorHAnsi" w:cstheme="minorHAnsi"/>
              </w:rPr>
            </w:pPr>
            <w:r>
              <w:rPr>
                <w:rFonts w:asciiTheme="minorHAnsi" w:hAnsiTheme="minorHAnsi" w:cstheme="minorHAnsi"/>
              </w:rPr>
              <w:t xml:space="preserve">Introduction to import Policies and Procedures. </w:t>
            </w:r>
          </w:p>
        </w:tc>
        <w:tc>
          <w:tcPr>
            <w:tcW w:w="1530" w:type="dxa"/>
          </w:tcPr>
          <w:p w14:paraId="31AE8E8D" w14:textId="0D1D8F48" w:rsidR="006462E0" w:rsidRPr="00C046A0" w:rsidRDefault="005F04EB">
            <w:pPr>
              <w:pStyle w:val="TableParagraph"/>
              <w:rPr>
                <w:rFonts w:asciiTheme="minorHAnsi" w:hAnsiTheme="minorHAnsi" w:cstheme="minorHAnsi"/>
              </w:rPr>
            </w:pPr>
            <w:r>
              <w:rPr>
                <w:rFonts w:asciiTheme="minorHAnsi" w:hAnsiTheme="minorHAnsi" w:cstheme="minorHAnsi"/>
              </w:rPr>
              <w:t>Quiz</w:t>
            </w:r>
          </w:p>
        </w:tc>
        <w:tc>
          <w:tcPr>
            <w:tcW w:w="1530" w:type="dxa"/>
          </w:tcPr>
          <w:p w14:paraId="31AE8E8E" w14:textId="64C3B666" w:rsidR="006462E0" w:rsidRPr="00C046A0" w:rsidRDefault="005F04EB">
            <w:pPr>
              <w:pStyle w:val="TableParagraph"/>
              <w:rPr>
                <w:rFonts w:asciiTheme="minorHAnsi" w:hAnsiTheme="minorHAnsi" w:cstheme="minorHAnsi"/>
              </w:rPr>
            </w:pPr>
            <w:r>
              <w:rPr>
                <w:rFonts w:asciiTheme="minorHAnsi" w:hAnsiTheme="minorHAnsi" w:cstheme="minorHAnsi"/>
              </w:rPr>
              <w:t>Quiz1</w:t>
            </w:r>
          </w:p>
        </w:tc>
        <w:tc>
          <w:tcPr>
            <w:tcW w:w="1530" w:type="dxa"/>
          </w:tcPr>
          <w:p w14:paraId="0A441B67" w14:textId="77777777" w:rsidR="006462E0" w:rsidRDefault="005F04EB">
            <w:pPr>
              <w:pStyle w:val="TableParagraph"/>
              <w:rPr>
                <w:rFonts w:asciiTheme="minorHAnsi" w:hAnsiTheme="minorHAnsi" w:cstheme="minorHAnsi"/>
              </w:rPr>
            </w:pPr>
            <w:r>
              <w:rPr>
                <w:rFonts w:asciiTheme="minorHAnsi" w:hAnsiTheme="minorHAnsi" w:cstheme="minorHAnsi"/>
              </w:rPr>
              <w:t>910</w:t>
            </w:r>
          </w:p>
          <w:p w14:paraId="31AE8E8F" w14:textId="532A74B2" w:rsidR="005F04EB" w:rsidRPr="00C046A0" w:rsidRDefault="005F04EB">
            <w:pPr>
              <w:pStyle w:val="TableParagraph"/>
              <w:rPr>
                <w:rFonts w:asciiTheme="minorHAnsi" w:hAnsiTheme="minorHAnsi" w:cstheme="minorHAnsi"/>
              </w:rPr>
            </w:pPr>
          </w:p>
        </w:tc>
      </w:tr>
      <w:tr w:rsidR="006462E0" w:rsidRPr="00C046A0" w14:paraId="31AE8E97" w14:textId="77777777" w:rsidTr="00053564">
        <w:trPr>
          <w:trHeight w:val="70"/>
        </w:trPr>
        <w:tc>
          <w:tcPr>
            <w:tcW w:w="1540" w:type="dxa"/>
          </w:tcPr>
          <w:p w14:paraId="5950C41E" w14:textId="77777777" w:rsidR="006462E0" w:rsidRDefault="00D91EA6">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3</w:t>
            </w:r>
          </w:p>
          <w:p w14:paraId="31AE8E91" w14:textId="77777777" w:rsidR="00C046A0" w:rsidRPr="00C046A0" w:rsidRDefault="00C046A0">
            <w:pPr>
              <w:pStyle w:val="TableParagraph"/>
              <w:ind w:left="107" w:right="132"/>
              <w:rPr>
                <w:rFonts w:asciiTheme="minorHAnsi" w:hAnsiTheme="minorHAnsi" w:cstheme="minorHAnsi"/>
                <w:b/>
              </w:rPr>
            </w:pPr>
          </w:p>
        </w:tc>
        <w:tc>
          <w:tcPr>
            <w:tcW w:w="1880" w:type="dxa"/>
          </w:tcPr>
          <w:p w14:paraId="31AE8E92" w14:textId="1D974CE8" w:rsidR="006462E0" w:rsidRPr="00C046A0" w:rsidRDefault="005F04EB">
            <w:pPr>
              <w:pStyle w:val="TableParagraph"/>
              <w:rPr>
                <w:rFonts w:asciiTheme="minorHAnsi" w:hAnsiTheme="minorHAnsi" w:cstheme="minorHAnsi"/>
              </w:rPr>
            </w:pPr>
            <w:r>
              <w:rPr>
                <w:rFonts w:asciiTheme="minorHAnsi" w:hAnsiTheme="minorHAnsi" w:cstheme="minorHAnsi"/>
              </w:rPr>
              <w:t>US- CBP Mission</w:t>
            </w:r>
          </w:p>
        </w:tc>
        <w:tc>
          <w:tcPr>
            <w:tcW w:w="3240" w:type="dxa"/>
          </w:tcPr>
          <w:p w14:paraId="31AE8E93" w14:textId="7F5766D8" w:rsidR="006462E0" w:rsidRPr="00C046A0" w:rsidRDefault="00053564">
            <w:pPr>
              <w:pStyle w:val="TableParagraph"/>
              <w:rPr>
                <w:rFonts w:asciiTheme="minorHAnsi" w:hAnsiTheme="minorHAnsi" w:cstheme="minorHAnsi"/>
              </w:rPr>
            </w:pPr>
            <w:r>
              <w:rPr>
                <w:rFonts w:asciiTheme="minorHAnsi" w:hAnsiTheme="minorHAnsi" w:cstheme="minorHAnsi"/>
              </w:rPr>
              <w:t xml:space="preserve">Intro to customs and border protection, learn about their role in compliance. </w:t>
            </w:r>
          </w:p>
        </w:tc>
        <w:tc>
          <w:tcPr>
            <w:tcW w:w="1530" w:type="dxa"/>
          </w:tcPr>
          <w:p w14:paraId="797C7C24" w14:textId="77777777" w:rsidR="006462E0" w:rsidRDefault="005F04EB">
            <w:pPr>
              <w:pStyle w:val="TableParagraph"/>
              <w:rPr>
                <w:rFonts w:asciiTheme="minorHAnsi" w:hAnsiTheme="minorHAnsi" w:cstheme="minorHAnsi"/>
              </w:rPr>
            </w:pPr>
            <w:r>
              <w:rPr>
                <w:rFonts w:asciiTheme="minorHAnsi" w:hAnsiTheme="minorHAnsi" w:cstheme="minorHAnsi"/>
              </w:rPr>
              <w:t>Quiz</w:t>
            </w:r>
          </w:p>
          <w:p w14:paraId="31AE8E94" w14:textId="39BCB32A" w:rsidR="005F04EB" w:rsidRPr="00C046A0" w:rsidRDefault="005F04EB">
            <w:pPr>
              <w:pStyle w:val="TableParagraph"/>
              <w:rPr>
                <w:rFonts w:asciiTheme="minorHAnsi" w:hAnsiTheme="minorHAnsi" w:cstheme="minorHAnsi"/>
              </w:rPr>
            </w:pPr>
          </w:p>
        </w:tc>
        <w:tc>
          <w:tcPr>
            <w:tcW w:w="1530" w:type="dxa"/>
          </w:tcPr>
          <w:p w14:paraId="54EC4927" w14:textId="333D8217" w:rsidR="006462E0" w:rsidRDefault="005F04EB">
            <w:pPr>
              <w:pStyle w:val="TableParagraph"/>
              <w:rPr>
                <w:rFonts w:asciiTheme="minorHAnsi" w:hAnsiTheme="minorHAnsi" w:cstheme="minorHAnsi"/>
              </w:rPr>
            </w:pPr>
            <w:r>
              <w:rPr>
                <w:rFonts w:asciiTheme="minorHAnsi" w:hAnsiTheme="minorHAnsi" w:cstheme="minorHAnsi"/>
              </w:rPr>
              <w:t>Quiz 2</w:t>
            </w:r>
          </w:p>
          <w:p w14:paraId="31AE8E95" w14:textId="3A376DF7" w:rsidR="005F04EB" w:rsidRPr="00C046A0" w:rsidRDefault="005F04EB">
            <w:pPr>
              <w:pStyle w:val="TableParagraph"/>
              <w:rPr>
                <w:rFonts w:asciiTheme="minorHAnsi" w:hAnsiTheme="minorHAnsi" w:cstheme="minorHAnsi"/>
              </w:rPr>
            </w:pPr>
          </w:p>
        </w:tc>
        <w:tc>
          <w:tcPr>
            <w:tcW w:w="1530" w:type="dxa"/>
          </w:tcPr>
          <w:p w14:paraId="31AE8E96" w14:textId="4939A0A6" w:rsidR="006462E0" w:rsidRPr="00C046A0" w:rsidRDefault="005F04EB">
            <w:pPr>
              <w:pStyle w:val="TableParagraph"/>
              <w:rPr>
                <w:rFonts w:asciiTheme="minorHAnsi" w:hAnsiTheme="minorHAnsi" w:cstheme="minorHAnsi"/>
              </w:rPr>
            </w:pPr>
            <w:r>
              <w:rPr>
                <w:rFonts w:asciiTheme="minorHAnsi" w:hAnsiTheme="minorHAnsi" w:cstheme="minorHAnsi"/>
              </w:rPr>
              <w:t>9/17</w:t>
            </w:r>
          </w:p>
        </w:tc>
      </w:tr>
      <w:tr w:rsidR="006462E0" w:rsidRPr="00C046A0" w14:paraId="31AE8E9E" w14:textId="77777777" w:rsidTr="00053564">
        <w:trPr>
          <w:trHeight w:val="70"/>
        </w:trPr>
        <w:tc>
          <w:tcPr>
            <w:tcW w:w="1540" w:type="dxa"/>
          </w:tcPr>
          <w:p w14:paraId="76359E4C" w14:textId="77777777" w:rsidR="006462E0" w:rsidRDefault="00D91EA6">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4</w:t>
            </w:r>
          </w:p>
          <w:p w14:paraId="31AE8E98" w14:textId="77777777" w:rsidR="00C046A0" w:rsidRPr="00C046A0" w:rsidRDefault="00C046A0">
            <w:pPr>
              <w:pStyle w:val="TableParagraph"/>
              <w:ind w:left="107" w:right="132"/>
              <w:rPr>
                <w:rFonts w:asciiTheme="minorHAnsi" w:hAnsiTheme="minorHAnsi" w:cstheme="minorHAnsi"/>
                <w:b/>
              </w:rPr>
            </w:pPr>
          </w:p>
        </w:tc>
        <w:tc>
          <w:tcPr>
            <w:tcW w:w="1880" w:type="dxa"/>
          </w:tcPr>
          <w:p w14:paraId="31AE8E99" w14:textId="4D3132CA" w:rsidR="005F04EB" w:rsidRPr="00C046A0" w:rsidRDefault="005F04EB">
            <w:pPr>
              <w:pStyle w:val="TableParagraph"/>
              <w:rPr>
                <w:rFonts w:asciiTheme="minorHAnsi" w:hAnsiTheme="minorHAnsi" w:cstheme="minorHAnsi"/>
              </w:rPr>
            </w:pPr>
            <w:r>
              <w:rPr>
                <w:rFonts w:asciiTheme="minorHAnsi" w:hAnsiTheme="minorHAnsi" w:cstheme="minorHAnsi"/>
              </w:rPr>
              <w:t>Right to Make Entry/Compliance</w:t>
            </w:r>
          </w:p>
        </w:tc>
        <w:tc>
          <w:tcPr>
            <w:tcW w:w="3240" w:type="dxa"/>
          </w:tcPr>
          <w:p w14:paraId="5B4FA0B2" w14:textId="2BD9DE1E" w:rsidR="00053564" w:rsidRPr="00053564" w:rsidRDefault="00053564" w:rsidP="00053564">
            <w:pPr>
              <w:pStyle w:val="TableParagraph"/>
              <w:rPr>
                <w:rFonts w:asciiTheme="minorHAnsi" w:hAnsiTheme="minorHAnsi" w:cstheme="minorHAnsi"/>
              </w:rPr>
            </w:pPr>
            <w:r w:rsidRPr="00053564">
              <w:rPr>
                <w:rFonts w:asciiTheme="minorHAnsi" w:hAnsiTheme="minorHAnsi" w:cstheme="minorHAnsi"/>
              </w:rPr>
              <w:t>Familiarize yourself with 3530-002A Right to Make Entry</w:t>
            </w:r>
          </w:p>
          <w:p w14:paraId="31AE8E9A" w14:textId="77777777" w:rsidR="006462E0" w:rsidRPr="00C046A0" w:rsidRDefault="006462E0">
            <w:pPr>
              <w:pStyle w:val="TableParagraph"/>
              <w:rPr>
                <w:rFonts w:asciiTheme="minorHAnsi" w:hAnsiTheme="minorHAnsi" w:cstheme="minorHAnsi"/>
              </w:rPr>
            </w:pPr>
          </w:p>
        </w:tc>
        <w:tc>
          <w:tcPr>
            <w:tcW w:w="1530" w:type="dxa"/>
          </w:tcPr>
          <w:p w14:paraId="31AE8E9B" w14:textId="195A7239" w:rsidR="006462E0" w:rsidRPr="00C046A0" w:rsidRDefault="005F04EB">
            <w:pPr>
              <w:pStyle w:val="TableParagraph"/>
              <w:rPr>
                <w:rFonts w:asciiTheme="minorHAnsi" w:hAnsiTheme="minorHAnsi" w:cstheme="minorHAnsi"/>
              </w:rPr>
            </w:pPr>
            <w:r>
              <w:rPr>
                <w:rFonts w:asciiTheme="minorHAnsi" w:hAnsiTheme="minorHAnsi" w:cstheme="minorHAnsi"/>
              </w:rPr>
              <w:t>Quiz</w:t>
            </w:r>
          </w:p>
        </w:tc>
        <w:tc>
          <w:tcPr>
            <w:tcW w:w="1530" w:type="dxa"/>
          </w:tcPr>
          <w:p w14:paraId="31AE8E9C" w14:textId="47F8EA33" w:rsidR="006462E0" w:rsidRPr="00C046A0" w:rsidRDefault="005F04EB">
            <w:pPr>
              <w:pStyle w:val="TableParagraph"/>
              <w:rPr>
                <w:rFonts w:asciiTheme="minorHAnsi" w:hAnsiTheme="minorHAnsi" w:cstheme="minorHAnsi"/>
              </w:rPr>
            </w:pPr>
            <w:r>
              <w:rPr>
                <w:rFonts w:asciiTheme="minorHAnsi" w:hAnsiTheme="minorHAnsi" w:cstheme="minorHAnsi"/>
              </w:rPr>
              <w:t>Quiz 3</w:t>
            </w:r>
          </w:p>
        </w:tc>
        <w:tc>
          <w:tcPr>
            <w:tcW w:w="1530" w:type="dxa"/>
          </w:tcPr>
          <w:p w14:paraId="31AE8E9D" w14:textId="3D243290" w:rsidR="006462E0" w:rsidRPr="00C046A0" w:rsidRDefault="005F04EB">
            <w:pPr>
              <w:pStyle w:val="TableParagraph"/>
              <w:rPr>
                <w:rFonts w:asciiTheme="minorHAnsi" w:hAnsiTheme="minorHAnsi" w:cstheme="minorHAnsi"/>
              </w:rPr>
            </w:pPr>
            <w:r>
              <w:rPr>
                <w:rFonts w:asciiTheme="minorHAnsi" w:hAnsiTheme="minorHAnsi" w:cstheme="minorHAnsi"/>
              </w:rPr>
              <w:t>9/24</w:t>
            </w:r>
          </w:p>
        </w:tc>
      </w:tr>
      <w:tr w:rsidR="006462E0" w:rsidRPr="00C046A0" w14:paraId="31AE8EA5" w14:textId="77777777" w:rsidTr="00053564">
        <w:trPr>
          <w:trHeight w:val="70"/>
        </w:trPr>
        <w:tc>
          <w:tcPr>
            <w:tcW w:w="1540" w:type="dxa"/>
          </w:tcPr>
          <w:p w14:paraId="38D8A2A4" w14:textId="77777777" w:rsidR="006462E0" w:rsidRDefault="00D91EA6">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5</w:t>
            </w:r>
          </w:p>
          <w:p w14:paraId="31AE8E9F" w14:textId="77777777" w:rsidR="00C046A0" w:rsidRPr="00C046A0" w:rsidRDefault="00C046A0">
            <w:pPr>
              <w:pStyle w:val="TableParagraph"/>
              <w:ind w:left="107" w:right="132"/>
              <w:rPr>
                <w:rFonts w:asciiTheme="minorHAnsi" w:hAnsiTheme="minorHAnsi" w:cstheme="minorHAnsi"/>
                <w:b/>
              </w:rPr>
            </w:pPr>
          </w:p>
        </w:tc>
        <w:tc>
          <w:tcPr>
            <w:tcW w:w="1880" w:type="dxa"/>
          </w:tcPr>
          <w:p w14:paraId="31AE8EA0" w14:textId="30E59C5D" w:rsidR="006462E0" w:rsidRPr="00C046A0" w:rsidRDefault="005F04EB">
            <w:pPr>
              <w:pStyle w:val="TableParagraph"/>
              <w:rPr>
                <w:rFonts w:asciiTheme="minorHAnsi" w:hAnsiTheme="minorHAnsi" w:cstheme="minorHAnsi"/>
              </w:rPr>
            </w:pPr>
            <w:r>
              <w:rPr>
                <w:rFonts w:asciiTheme="minorHAnsi" w:hAnsiTheme="minorHAnsi" w:cstheme="minorHAnsi"/>
              </w:rPr>
              <w:t>Compliance Assessment</w:t>
            </w:r>
          </w:p>
        </w:tc>
        <w:tc>
          <w:tcPr>
            <w:tcW w:w="3240" w:type="dxa"/>
          </w:tcPr>
          <w:p w14:paraId="31AE8EA1" w14:textId="7A87D0FB" w:rsidR="006462E0" w:rsidRPr="00C046A0" w:rsidRDefault="00053564">
            <w:pPr>
              <w:pStyle w:val="TableParagraph"/>
              <w:rPr>
                <w:rFonts w:asciiTheme="minorHAnsi" w:hAnsiTheme="minorHAnsi" w:cstheme="minorHAnsi"/>
              </w:rPr>
            </w:pPr>
            <w:r>
              <w:rPr>
                <w:rFonts w:asciiTheme="minorHAnsi" w:hAnsiTheme="minorHAnsi" w:cstheme="minorHAnsi"/>
              </w:rPr>
              <w:t xml:space="preserve">Learn how to create and evaluate cargo for import compliance. </w:t>
            </w:r>
          </w:p>
        </w:tc>
        <w:tc>
          <w:tcPr>
            <w:tcW w:w="1530" w:type="dxa"/>
          </w:tcPr>
          <w:p w14:paraId="31AE8EA2" w14:textId="567D54E3" w:rsidR="006462E0" w:rsidRPr="00C046A0" w:rsidRDefault="005F04EB">
            <w:pPr>
              <w:pStyle w:val="TableParagraph"/>
              <w:rPr>
                <w:rFonts w:asciiTheme="minorHAnsi" w:hAnsiTheme="minorHAnsi" w:cstheme="minorHAnsi"/>
              </w:rPr>
            </w:pPr>
            <w:r>
              <w:rPr>
                <w:rFonts w:asciiTheme="minorHAnsi" w:hAnsiTheme="minorHAnsi" w:cstheme="minorHAnsi"/>
              </w:rPr>
              <w:t>Quiz</w:t>
            </w:r>
          </w:p>
        </w:tc>
        <w:tc>
          <w:tcPr>
            <w:tcW w:w="1530" w:type="dxa"/>
          </w:tcPr>
          <w:p w14:paraId="31AE8EA3" w14:textId="3B1A9EDE" w:rsidR="006462E0" w:rsidRPr="00C046A0" w:rsidRDefault="005F04EB">
            <w:pPr>
              <w:pStyle w:val="TableParagraph"/>
              <w:rPr>
                <w:rFonts w:asciiTheme="minorHAnsi" w:hAnsiTheme="minorHAnsi" w:cstheme="minorHAnsi"/>
              </w:rPr>
            </w:pPr>
            <w:r>
              <w:rPr>
                <w:rFonts w:asciiTheme="minorHAnsi" w:hAnsiTheme="minorHAnsi" w:cstheme="minorHAnsi"/>
              </w:rPr>
              <w:t>Quiz 4</w:t>
            </w:r>
          </w:p>
        </w:tc>
        <w:tc>
          <w:tcPr>
            <w:tcW w:w="1530" w:type="dxa"/>
          </w:tcPr>
          <w:p w14:paraId="31AE8EA4" w14:textId="50DC635F" w:rsidR="006462E0" w:rsidRPr="00C046A0" w:rsidRDefault="00061C61">
            <w:pPr>
              <w:pStyle w:val="TableParagraph"/>
              <w:rPr>
                <w:rFonts w:asciiTheme="minorHAnsi" w:hAnsiTheme="minorHAnsi" w:cstheme="minorHAnsi"/>
              </w:rPr>
            </w:pPr>
            <w:r>
              <w:rPr>
                <w:rFonts w:asciiTheme="minorHAnsi" w:hAnsiTheme="minorHAnsi" w:cstheme="minorHAnsi"/>
              </w:rPr>
              <w:t>10/01</w:t>
            </w:r>
          </w:p>
        </w:tc>
      </w:tr>
      <w:tr w:rsidR="006462E0" w:rsidRPr="00C046A0" w14:paraId="31AE8EAC" w14:textId="77777777" w:rsidTr="00053564">
        <w:trPr>
          <w:trHeight w:val="70"/>
        </w:trPr>
        <w:tc>
          <w:tcPr>
            <w:tcW w:w="1540" w:type="dxa"/>
          </w:tcPr>
          <w:p w14:paraId="3CF49218" w14:textId="77777777" w:rsidR="006462E0" w:rsidRDefault="00D91EA6">
            <w:pPr>
              <w:pStyle w:val="TableParagraph"/>
              <w:spacing w:before="1"/>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6</w:t>
            </w:r>
          </w:p>
          <w:p w14:paraId="31AE8EA6" w14:textId="77777777" w:rsidR="00C046A0" w:rsidRPr="00C046A0" w:rsidRDefault="00C046A0">
            <w:pPr>
              <w:pStyle w:val="TableParagraph"/>
              <w:spacing w:before="1"/>
              <w:ind w:left="107" w:right="132"/>
              <w:rPr>
                <w:rFonts w:asciiTheme="minorHAnsi" w:hAnsiTheme="minorHAnsi" w:cstheme="minorHAnsi"/>
                <w:b/>
              </w:rPr>
            </w:pPr>
          </w:p>
        </w:tc>
        <w:tc>
          <w:tcPr>
            <w:tcW w:w="1880" w:type="dxa"/>
          </w:tcPr>
          <w:p w14:paraId="31AE8EA7" w14:textId="210D94E9" w:rsidR="006462E0" w:rsidRPr="00C046A0" w:rsidRDefault="005F04EB">
            <w:pPr>
              <w:pStyle w:val="TableParagraph"/>
              <w:rPr>
                <w:rFonts w:asciiTheme="minorHAnsi" w:hAnsiTheme="minorHAnsi" w:cstheme="minorHAnsi"/>
              </w:rPr>
            </w:pPr>
            <w:r>
              <w:rPr>
                <w:rFonts w:asciiTheme="minorHAnsi" w:hAnsiTheme="minorHAnsi" w:cstheme="minorHAnsi"/>
              </w:rPr>
              <w:t>Import Security Filing</w:t>
            </w:r>
          </w:p>
        </w:tc>
        <w:tc>
          <w:tcPr>
            <w:tcW w:w="3240" w:type="dxa"/>
          </w:tcPr>
          <w:p w14:paraId="31AE8EA8" w14:textId="1B63080B" w:rsidR="006462E0" w:rsidRPr="00C046A0" w:rsidRDefault="00053564">
            <w:pPr>
              <w:pStyle w:val="TableParagraph"/>
              <w:rPr>
                <w:rFonts w:asciiTheme="minorHAnsi" w:hAnsiTheme="minorHAnsi" w:cstheme="minorHAnsi"/>
              </w:rPr>
            </w:pPr>
            <w:r>
              <w:rPr>
                <w:rFonts w:asciiTheme="minorHAnsi" w:hAnsiTheme="minorHAnsi" w:cstheme="minorHAnsi"/>
              </w:rPr>
              <w:t xml:space="preserve">Learn about import security as it relates to customs and border protection, carrier requirements, ISF-10, and ISF-5. </w:t>
            </w:r>
          </w:p>
        </w:tc>
        <w:tc>
          <w:tcPr>
            <w:tcW w:w="1530" w:type="dxa"/>
          </w:tcPr>
          <w:p w14:paraId="31AE8EA9" w14:textId="2D0EE34B" w:rsidR="006462E0" w:rsidRPr="00C046A0" w:rsidRDefault="005F04EB">
            <w:pPr>
              <w:pStyle w:val="TableParagraph"/>
              <w:rPr>
                <w:rFonts w:asciiTheme="minorHAnsi" w:hAnsiTheme="minorHAnsi" w:cstheme="minorHAnsi"/>
              </w:rPr>
            </w:pPr>
            <w:r>
              <w:rPr>
                <w:rFonts w:asciiTheme="minorHAnsi" w:hAnsiTheme="minorHAnsi" w:cstheme="minorHAnsi"/>
              </w:rPr>
              <w:t>Quiz</w:t>
            </w:r>
          </w:p>
        </w:tc>
        <w:tc>
          <w:tcPr>
            <w:tcW w:w="1530" w:type="dxa"/>
          </w:tcPr>
          <w:p w14:paraId="31AE8EAA" w14:textId="5FB45C89" w:rsidR="006462E0" w:rsidRPr="00C046A0" w:rsidRDefault="005F04EB">
            <w:pPr>
              <w:pStyle w:val="TableParagraph"/>
              <w:rPr>
                <w:rFonts w:asciiTheme="minorHAnsi" w:hAnsiTheme="minorHAnsi" w:cstheme="minorHAnsi"/>
              </w:rPr>
            </w:pPr>
            <w:r>
              <w:rPr>
                <w:rFonts w:asciiTheme="minorHAnsi" w:hAnsiTheme="minorHAnsi" w:cstheme="minorHAnsi"/>
              </w:rPr>
              <w:t>Quiz 5</w:t>
            </w:r>
          </w:p>
        </w:tc>
        <w:tc>
          <w:tcPr>
            <w:tcW w:w="1530" w:type="dxa"/>
          </w:tcPr>
          <w:p w14:paraId="31AE8EAB" w14:textId="29D05F75" w:rsidR="006462E0" w:rsidRPr="00C046A0" w:rsidRDefault="00061C61">
            <w:pPr>
              <w:pStyle w:val="TableParagraph"/>
              <w:rPr>
                <w:rFonts w:asciiTheme="minorHAnsi" w:hAnsiTheme="minorHAnsi" w:cstheme="minorHAnsi"/>
              </w:rPr>
            </w:pPr>
            <w:r>
              <w:rPr>
                <w:rFonts w:asciiTheme="minorHAnsi" w:hAnsiTheme="minorHAnsi" w:cstheme="minorHAnsi"/>
              </w:rPr>
              <w:t>10/08</w:t>
            </w:r>
          </w:p>
        </w:tc>
      </w:tr>
      <w:tr w:rsidR="006462E0" w:rsidRPr="00C046A0" w14:paraId="31AE8EB3" w14:textId="77777777" w:rsidTr="00053564">
        <w:trPr>
          <w:trHeight w:val="70"/>
        </w:trPr>
        <w:tc>
          <w:tcPr>
            <w:tcW w:w="1540" w:type="dxa"/>
          </w:tcPr>
          <w:p w14:paraId="21B061D9" w14:textId="77777777" w:rsidR="006462E0" w:rsidRDefault="00D91EA6">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7</w:t>
            </w:r>
          </w:p>
          <w:p w14:paraId="31AE8EAD" w14:textId="77777777" w:rsidR="00C046A0" w:rsidRPr="00C046A0" w:rsidRDefault="00C046A0">
            <w:pPr>
              <w:pStyle w:val="TableParagraph"/>
              <w:ind w:left="107" w:right="132"/>
              <w:rPr>
                <w:rFonts w:asciiTheme="minorHAnsi" w:hAnsiTheme="minorHAnsi" w:cstheme="minorHAnsi"/>
                <w:b/>
              </w:rPr>
            </w:pPr>
          </w:p>
        </w:tc>
        <w:tc>
          <w:tcPr>
            <w:tcW w:w="1880" w:type="dxa"/>
          </w:tcPr>
          <w:p w14:paraId="31AE8EAE" w14:textId="5FA3ADA2" w:rsidR="006462E0" w:rsidRPr="00C046A0" w:rsidRDefault="005F04EB">
            <w:pPr>
              <w:pStyle w:val="TableParagraph"/>
              <w:rPr>
                <w:rFonts w:asciiTheme="minorHAnsi" w:hAnsiTheme="minorHAnsi" w:cstheme="minorHAnsi"/>
              </w:rPr>
            </w:pPr>
            <w:r>
              <w:rPr>
                <w:rFonts w:asciiTheme="minorHAnsi" w:hAnsiTheme="minorHAnsi" w:cstheme="minorHAnsi"/>
              </w:rPr>
              <w:t>Federal Law</w:t>
            </w:r>
          </w:p>
        </w:tc>
        <w:tc>
          <w:tcPr>
            <w:tcW w:w="3240" w:type="dxa"/>
          </w:tcPr>
          <w:p w14:paraId="31AE8EAF" w14:textId="5E185062" w:rsidR="006462E0" w:rsidRPr="00C046A0" w:rsidRDefault="00053564">
            <w:pPr>
              <w:pStyle w:val="TableParagraph"/>
              <w:rPr>
                <w:rFonts w:asciiTheme="minorHAnsi" w:hAnsiTheme="minorHAnsi" w:cstheme="minorHAnsi"/>
              </w:rPr>
            </w:pPr>
            <w:r>
              <w:rPr>
                <w:rFonts w:asciiTheme="minorHAnsi" w:hAnsiTheme="minorHAnsi" w:cstheme="minorHAnsi"/>
              </w:rPr>
              <w:t xml:space="preserve">Learn how the federal government imposes law upon the supply chain network. </w:t>
            </w:r>
          </w:p>
        </w:tc>
        <w:tc>
          <w:tcPr>
            <w:tcW w:w="1530" w:type="dxa"/>
          </w:tcPr>
          <w:p w14:paraId="213615E1" w14:textId="77777777" w:rsidR="006462E0" w:rsidRDefault="005F04EB">
            <w:pPr>
              <w:pStyle w:val="TableParagraph"/>
              <w:rPr>
                <w:rFonts w:asciiTheme="minorHAnsi" w:hAnsiTheme="minorHAnsi" w:cstheme="minorHAnsi"/>
              </w:rPr>
            </w:pPr>
            <w:r>
              <w:rPr>
                <w:rFonts w:asciiTheme="minorHAnsi" w:hAnsiTheme="minorHAnsi" w:cstheme="minorHAnsi"/>
              </w:rPr>
              <w:t>Quiz</w:t>
            </w:r>
          </w:p>
          <w:p w14:paraId="31AE8EB0" w14:textId="603A18BD" w:rsidR="005F04EB" w:rsidRPr="00C046A0" w:rsidRDefault="005F04EB">
            <w:pPr>
              <w:pStyle w:val="TableParagraph"/>
              <w:rPr>
                <w:rFonts w:asciiTheme="minorHAnsi" w:hAnsiTheme="minorHAnsi" w:cstheme="minorHAnsi"/>
              </w:rPr>
            </w:pPr>
            <w:r>
              <w:rPr>
                <w:rFonts w:asciiTheme="minorHAnsi" w:hAnsiTheme="minorHAnsi" w:cstheme="minorHAnsi"/>
              </w:rPr>
              <w:t>Case Study/Essay</w:t>
            </w:r>
          </w:p>
        </w:tc>
        <w:tc>
          <w:tcPr>
            <w:tcW w:w="1530" w:type="dxa"/>
          </w:tcPr>
          <w:p w14:paraId="0188A202" w14:textId="77777777" w:rsidR="006462E0" w:rsidRDefault="005F04EB">
            <w:pPr>
              <w:pStyle w:val="TableParagraph"/>
              <w:rPr>
                <w:rFonts w:asciiTheme="minorHAnsi" w:hAnsiTheme="minorHAnsi" w:cstheme="minorHAnsi"/>
              </w:rPr>
            </w:pPr>
            <w:r>
              <w:rPr>
                <w:rFonts w:asciiTheme="minorHAnsi" w:hAnsiTheme="minorHAnsi" w:cstheme="minorHAnsi"/>
              </w:rPr>
              <w:t>Quiz 6</w:t>
            </w:r>
          </w:p>
          <w:p w14:paraId="31AE8EB1" w14:textId="5AA869E4" w:rsidR="005F04EB" w:rsidRPr="00C046A0" w:rsidRDefault="005F04EB">
            <w:pPr>
              <w:pStyle w:val="TableParagraph"/>
              <w:rPr>
                <w:rFonts w:asciiTheme="minorHAnsi" w:hAnsiTheme="minorHAnsi" w:cstheme="minorHAnsi"/>
              </w:rPr>
            </w:pPr>
            <w:r>
              <w:rPr>
                <w:rFonts w:asciiTheme="minorHAnsi" w:hAnsiTheme="minorHAnsi" w:cstheme="minorHAnsi"/>
              </w:rPr>
              <w:t>Case Study 1</w:t>
            </w:r>
          </w:p>
        </w:tc>
        <w:tc>
          <w:tcPr>
            <w:tcW w:w="1530" w:type="dxa"/>
          </w:tcPr>
          <w:p w14:paraId="31AE8EB2" w14:textId="366122BF" w:rsidR="006462E0" w:rsidRPr="00C046A0" w:rsidRDefault="00061C61">
            <w:pPr>
              <w:pStyle w:val="TableParagraph"/>
              <w:rPr>
                <w:rFonts w:asciiTheme="minorHAnsi" w:hAnsiTheme="minorHAnsi" w:cstheme="minorHAnsi"/>
              </w:rPr>
            </w:pPr>
            <w:r>
              <w:rPr>
                <w:rFonts w:asciiTheme="minorHAnsi" w:hAnsiTheme="minorHAnsi" w:cstheme="minorHAnsi"/>
              </w:rPr>
              <w:t>10/15</w:t>
            </w:r>
          </w:p>
        </w:tc>
      </w:tr>
      <w:tr w:rsidR="006462E0" w:rsidRPr="00C046A0" w14:paraId="31AE8EBA" w14:textId="77777777" w:rsidTr="00053564">
        <w:trPr>
          <w:trHeight w:val="70"/>
        </w:trPr>
        <w:tc>
          <w:tcPr>
            <w:tcW w:w="1540" w:type="dxa"/>
          </w:tcPr>
          <w:p w14:paraId="77FAF79C" w14:textId="77777777" w:rsidR="006462E0" w:rsidRDefault="00D91EA6">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8</w:t>
            </w:r>
          </w:p>
          <w:p w14:paraId="31AE8EB4" w14:textId="77777777" w:rsidR="00C046A0" w:rsidRPr="00C046A0" w:rsidRDefault="00C046A0">
            <w:pPr>
              <w:pStyle w:val="TableParagraph"/>
              <w:ind w:left="107" w:right="132"/>
              <w:rPr>
                <w:rFonts w:asciiTheme="minorHAnsi" w:hAnsiTheme="minorHAnsi" w:cstheme="minorHAnsi"/>
                <w:b/>
              </w:rPr>
            </w:pPr>
          </w:p>
        </w:tc>
        <w:tc>
          <w:tcPr>
            <w:tcW w:w="1880" w:type="dxa"/>
          </w:tcPr>
          <w:p w14:paraId="31AE8EB5" w14:textId="1EFB856F" w:rsidR="006462E0" w:rsidRPr="00C046A0" w:rsidRDefault="005F04EB">
            <w:pPr>
              <w:pStyle w:val="TableParagraph"/>
              <w:rPr>
                <w:rFonts w:asciiTheme="minorHAnsi" w:hAnsiTheme="minorHAnsi" w:cstheme="minorHAnsi"/>
              </w:rPr>
            </w:pPr>
            <w:r>
              <w:rPr>
                <w:rFonts w:asciiTheme="minorHAnsi" w:hAnsiTheme="minorHAnsi" w:cstheme="minorHAnsi"/>
              </w:rPr>
              <w:t>Motor/Air Regulations</w:t>
            </w:r>
          </w:p>
        </w:tc>
        <w:tc>
          <w:tcPr>
            <w:tcW w:w="3240" w:type="dxa"/>
          </w:tcPr>
          <w:p w14:paraId="31AE8EB6" w14:textId="41A76BE0" w:rsidR="006462E0" w:rsidRPr="00C046A0" w:rsidRDefault="00053564">
            <w:pPr>
              <w:pStyle w:val="TableParagraph"/>
              <w:rPr>
                <w:rFonts w:asciiTheme="minorHAnsi" w:hAnsiTheme="minorHAnsi" w:cstheme="minorHAnsi"/>
              </w:rPr>
            </w:pPr>
            <w:r>
              <w:rPr>
                <w:rFonts w:asciiTheme="minorHAnsi" w:hAnsiTheme="minorHAnsi" w:cstheme="minorHAnsi"/>
              </w:rPr>
              <w:t xml:space="preserve">Learn about air and ground transport regulations. </w:t>
            </w:r>
          </w:p>
        </w:tc>
        <w:tc>
          <w:tcPr>
            <w:tcW w:w="1530" w:type="dxa"/>
          </w:tcPr>
          <w:p w14:paraId="31AE8EB7" w14:textId="088001AA" w:rsidR="006462E0" w:rsidRPr="00C046A0" w:rsidRDefault="005F04EB">
            <w:pPr>
              <w:pStyle w:val="TableParagraph"/>
              <w:rPr>
                <w:rFonts w:asciiTheme="minorHAnsi" w:hAnsiTheme="minorHAnsi" w:cstheme="minorHAnsi"/>
              </w:rPr>
            </w:pPr>
            <w:r>
              <w:rPr>
                <w:rFonts w:asciiTheme="minorHAnsi" w:hAnsiTheme="minorHAnsi" w:cstheme="minorHAnsi"/>
              </w:rPr>
              <w:t>Quiz</w:t>
            </w:r>
          </w:p>
        </w:tc>
        <w:tc>
          <w:tcPr>
            <w:tcW w:w="1530" w:type="dxa"/>
          </w:tcPr>
          <w:p w14:paraId="31AE8EB8" w14:textId="59763D74" w:rsidR="006462E0" w:rsidRPr="00C046A0" w:rsidRDefault="005F04EB">
            <w:pPr>
              <w:pStyle w:val="TableParagraph"/>
              <w:rPr>
                <w:rFonts w:asciiTheme="minorHAnsi" w:hAnsiTheme="minorHAnsi" w:cstheme="minorHAnsi"/>
              </w:rPr>
            </w:pPr>
            <w:r>
              <w:rPr>
                <w:rFonts w:asciiTheme="minorHAnsi" w:hAnsiTheme="minorHAnsi" w:cstheme="minorHAnsi"/>
              </w:rPr>
              <w:t>Quiz 7a</w:t>
            </w:r>
          </w:p>
        </w:tc>
        <w:tc>
          <w:tcPr>
            <w:tcW w:w="1530" w:type="dxa"/>
          </w:tcPr>
          <w:p w14:paraId="31AE8EB9" w14:textId="4222C14E" w:rsidR="006462E0" w:rsidRPr="00C046A0" w:rsidRDefault="00061C61">
            <w:pPr>
              <w:pStyle w:val="TableParagraph"/>
              <w:rPr>
                <w:rFonts w:asciiTheme="minorHAnsi" w:hAnsiTheme="minorHAnsi" w:cstheme="minorHAnsi"/>
              </w:rPr>
            </w:pPr>
            <w:r>
              <w:rPr>
                <w:rFonts w:asciiTheme="minorHAnsi" w:hAnsiTheme="minorHAnsi" w:cstheme="minorHAnsi"/>
              </w:rPr>
              <w:t>10/22</w:t>
            </w:r>
          </w:p>
        </w:tc>
      </w:tr>
      <w:tr w:rsidR="006462E0" w:rsidRPr="00C046A0" w14:paraId="31AE8EC1" w14:textId="77777777" w:rsidTr="00053564">
        <w:trPr>
          <w:trHeight w:val="70"/>
        </w:trPr>
        <w:tc>
          <w:tcPr>
            <w:tcW w:w="1540" w:type="dxa"/>
          </w:tcPr>
          <w:p w14:paraId="0DF9790A" w14:textId="77777777" w:rsidR="006462E0" w:rsidRDefault="00D91EA6">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9</w:t>
            </w:r>
          </w:p>
          <w:p w14:paraId="31AE8EBB" w14:textId="77777777" w:rsidR="00C046A0" w:rsidRPr="00C046A0" w:rsidRDefault="00C046A0">
            <w:pPr>
              <w:pStyle w:val="TableParagraph"/>
              <w:ind w:left="107" w:right="132"/>
              <w:rPr>
                <w:rFonts w:asciiTheme="minorHAnsi" w:hAnsiTheme="minorHAnsi" w:cstheme="minorHAnsi"/>
                <w:b/>
              </w:rPr>
            </w:pPr>
          </w:p>
        </w:tc>
        <w:tc>
          <w:tcPr>
            <w:tcW w:w="1880" w:type="dxa"/>
          </w:tcPr>
          <w:p w14:paraId="31AE8EBC" w14:textId="04C402E5" w:rsidR="006462E0" w:rsidRPr="00C046A0" w:rsidRDefault="005F04EB">
            <w:pPr>
              <w:pStyle w:val="TableParagraph"/>
              <w:rPr>
                <w:rFonts w:asciiTheme="minorHAnsi" w:hAnsiTheme="minorHAnsi" w:cstheme="minorHAnsi"/>
              </w:rPr>
            </w:pPr>
            <w:r>
              <w:rPr>
                <w:rFonts w:asciiTheme="minorHAnsi" w:hAnsiTheme="minorHAnsi" w:cstheme="minorHAnsi"/>
              </w:rPr>
              <w:t>Water Carrier Regulations</w:t>
            </w:r>
          </w:p>
        </w:tc>
        <w:tc>
          <w:tcPr>
            <w:tcW w:w="3240" w:type="dxa"/>
          </w:tcPr>
          <w:p w14:paraId="31AE8EBD" w14:textId="03DFD743" w:rsidR="006462E0" w:rsidRPr="00C046A0" w:rsidRDefault="00053564">
            <w:pPr>
              <w:pStyle w:val="TableParagraph"/>
              <w:rPr>
                <w:rFonts w:asciiTheme="minorHAnsi" w:hAnsiTheme="minorHAnsi" w:cstheme="minorHAnsi"/>
              </w:rPr>
            </w:pPr>
            <w:r>
              <w:rPr>
                <w:rFonts w:asciiTheme="minorHAnsi" w:hAnsiTheme="minorHAnsi" w:cstheme="minorHAnsi"/>
              </w:rPr>
              <w:t xml:space="preserve">Learn about overseas and water transport regulations. </w:t>
            </w:r>
          </w:p>
        </w:tc>
        <w:tc>
          <w:tcPr>
            <w:tcW w:w="1530" w:type="dxa"/>
          </w:tcPr>
          <w:p w14:paraId="31AE8EBE" w14:textId="75015064" w:rsidR="006462E0" w:rsidRPr="00C046A0" w:rsidRDefault="005F04EB">
            <w:pPr>
              <w:pStyle w:val="TableParagraph"/>
              <w:rPr>
                <w:rFonts w:asciiTheme="minorHAnsi" w:hAnsiTheme="minorHAnsi" w:cstheme="minorHAnsi"/>
              </w:rPr>
            </w:pPr>
            <w:r>
              <w:rPr>
                <w:rFonts w:asciiTheme="minorHAnsi" w:hAnsiTheme="minorHAnsi" w:cstheme="minorHAnsi"/>
              </w:rPr>
              <w:t>Quiz</w:t>
            </w:r>
          </w:p>
        </w:tc>
        <w:tc>
          <w:tcPr>
            <w:tcW w:w="1530" w:type="dxa"/>
          </w:tcPr>
          <w:p w14:paraId="2B158601" w14:textId="77777777" w:rsidR="006462E0" w:rsidRDefault="005F04EB">
            <w:pPr>
              <w:pStyle w:val="TableParagraph"/>
              <w:rPr>
                <w:rFonts w:asciiTheme="minorHAnsi" w:hAnsiTheme="minorHAnsi" w:cstheme="minorHAnsi"/>
              </w:rPr>
            </w:pPr>
            <w:r>
              <w:rPr>
                <w:rFonts w:asciiTheme="minorHAnsi" w:hAnsiTheme="minorHAnsi" w:cstheme="minorHAnsi"/>
              </w:rPr>
              <w:t>Quiz 7b</w:t>
            </w:r>
          </w:p>
          <w:p w14:paraId="31AE8EBF" w14:textId="29570314" w:rsidR="005F04EB" w:rsidRPr="00C046A0" w:rsidRDefault="005F04EB">
            <w:pPr>
              <w:pStyle w:val="TableParagraph"/>
              <w:rPr>
                <w:rFonts w:asciiTheme="minorHAnsi" w:hAnsiTheme="minorHAnsi" w:cstheme="minorHAnsi"/>
              </w:rPr>
            </w:pPr>
          </w:p>
        </w:tc>
        <w:tc>
          <w:tcPr>
            <w:tcW w:w="1530" w:type="dxa"/>
          </w:tcPr>
          <w:p w14:paraId="31AE8EC0" w14:textId="184D0A3B" w:rsidR="006462E0" w:rsidRPr="00C046A0" w:rsidRDefault="00061C61">
            <w:pPr>
              <w:pStyle w:val="TableParagraph"/>
              <w:rPr>
                <w:rFonts w:asciiTheme="minorHAnsi" w:hAnsiTheme="minorHAnsi" w:cstheme="minorHAnsi"/>
              </w:rPr>
            </w:pPr>
            <w:r>
              <w:rPr>
                <w:rFonts w:asciiTheme="minorHAnsi" w:hAnsiTheme="minorHAnsi" w:cstheme="minorHAnsi"/>
              </w:rPr>
              <w:t>10/29</w:t>
            </w:r>
          </w:p>
        </w:tc>
      </w:tr>
      <w:tr w:rsidR="006462E0" w:rsidRPr="00C046A0" w14:paraId="31AE8EC8" w14:textId="77777777" w:rsidTr="00053564">
        <w:trPr>
          <w:trHeight w:val="70"/>
        </w:trPr>
        <w:tc>
          <w:tcPr>
            <w:tcW w:w="1540" w:type="dxa"/>
          </w:tcPr>
          <w:p w14:paraId="5BEADA59" w14:textId="77777777" w:rsidR="006462E0" w:rsidRDefault="00D91EA6">
            <w:pPr>
              <w:pStyle w:val="TableParagraph"/>
              <w:ind w:left="107" w:right="132"/>
              <w:rPr>
                <w:rFonts w:asciiTheme="minorHAnsi" w:hAnsiTheme="minorHAnsi" w:cstheme="minorHAnsi"/>
                <w:b/>
                <w:spacing w:val="-6"/>
              </w:rPr>
            </w:pPr>
            <w:r w:rsidRPr="00C046A0">
              <w:rPr>
                <w:rFonts w:asciiTheme="minorHAnsi" w:hAnsiTheme="minorHAnsi" w:cstheme="minorHAnsi"/>
                <w:b/>
                <w:spacing w:val="-4"/>
              </w:rPr>
              <w:t xml:space="preserve">Week </w:t>
            </w:r>
            <w:r w:rsidRPr="00C046A0">
              <w:rPr>
                <w:rFonts w:asciiTheme="minorHAnsi" w:hAnsiTheme="minorHAnsi" w:cstheme="minorHAnsi"/>
                <w:b/>
                <w:spacing w:val="-6"/>
              </w:rPr>
              <w:t>10</w:t>
            </w:r>
          </w:p>
          <w:p w14:paraId="31AE8EC2" w14:textId="77777777" w:rsidR="00C046A0" w:rsidRPr="00C046A0" w:rsidRDefault="00C046A0">
            <w:pPr>
              <w:pStyle w:val="TableParagraph"/>
              <w:ind w:left="107" w:right="132"/>
              <w:rPr>
                <w:rFonts w:asciiTheme="minorHAnsi" w:hAnsiTheme="minorHAnsi" w:cstheme="minorHAnsi"/>
                <w:b/>
              </w:rPr>
            </w:pPr>
          </w:p>
        </w:tc>
        <w:tc>
          <w:tcPr>
            <w:tcW w:w="1880" w:type="dxa"/>
          </w:tcPr>
          <w:p w14:paraId="31AE8EC3" w14:textId="2D5EA591" w:rsidR="006462E0" w:rsidRPr="00C046A0" w:rsidRDefault="005F04EB">
            <w:pPr>
              <w:pStyle w:val="TableParagraph"/>
              <w:rPr>
                <w:rFonts w:asciiTheme="minorHAnsi" w:hAnsiTheme="minorHAnsi" w:cstheme="minorHAnsi"/>
              </w:rPr>
            </w:pPr>
            <w:r>
              <w:rPr>
                <w:rFonts w:asciiTheme="minorHAnsi" w:hAnsiTheme="minorHAnsi" w:cstheme="minorHAnsi"/>
              </w:rPr>
              <w:t>Cargo Liability</w:t>
            </w:r>
          </w:p>
        </w:tc>
        <w:tc>
          <w:tcPr>
            <w:tcW w:w="3240" w:type="dxa"/>
          </w:tcPr>
          <w:p w14:paraId="31AE8EC4" w14:textId="60A43C45" w:rsidR="006462E0" w:rsidRPr="00C046A0" w:rsidRDefault="00053564">
            <w:pPr>
              <w:pStyle w:val="TableParagraph"/>
              <w:rPr>
                <w:rFonts w:asciiTheme="minorHAnsi" w:hAnsiTheme="minorHAnsi" w:cstheme="minorHAnsi"/>
              </w:rPr>
            </w:pPr>
            <w:r>
              <w:rPr>
                <w:rFonts w:asciiTheme="minorHAnsi" w:hAnsiTheme="minorHAnsi" w:cstheme="minorHAnsi"/>
              </w:rPr>
              <w:t>Understand cargo liability and how that relates to Carriers and Freight Forwarders.</w:t>
            </w:r>
          </w:p>
        </w:tc>
        <w:tc>
          <w:tcPr>
            <w:tcW w:w="1530" w:type="dxa"/>
          </w:tcPr>
          <w:p w14:paraId="31AE8EC5" w14:textId="7B14D772" w:rsidR="006462E0" w:rsidRPr="00C046A0" w:rsidRDefault="005F04EB">
            <w:pPr>
              <w:pStyle w:val="TableParagraph"/>
              <w:rPr>
                <w:rFonts w:asciiTheme="minorHAnsi" w:hAnsiTheme="minorHAnsi" w:cstheme="minorHAnsi"/>
              </w:rPr>
            </w:pPr>
            <w:r>
              <w:rPr>
                <w:rFonts w:asciiTheme="minorHAnsi" w:hAnsiTheme="minorHAnsi" w:cstheme="minorHAnsi"/>
              </w:rPr>
              <w:t>Quiz</w:t>
            </w:r>
          </w:p>
        </w:tc>
        <w:tc>
          <w:tcPr>
            <w:tcW w:w="1530" w:type="dxa"/>
          </w:tcPr>
          <w:p w14:paraId="31AE8EC6" w14:textId="0210CC32" w:rsidR="006462E0" w:rsidRPr="00C046A0" w:rsidRDefault="005F04EB">
            <w:pPr>
              <w:pStyle w:val="TableParagraph"/>
              <w:rPr>
                <w:rFonts w:asciiTheme="minorHAnsi" w:hAnsiTheme="minorHAnsi" w:cstheme="minorHAnsi"/>
              </w:rPr>
            </w:pPr>
            <w:r>
              <w:rPr>
                <w:rFonts w:asciiTheme="minorHAnsi" w:hAnsiTheme="minorHAnsi" w:cstheme="minorHAnsi"/>
              </w:rPr>
              <w:t>Quiz 8</w:t>
            </w:r>
          </w:p>
        </w:tc>
        <w:tc>
          <w:tcPr>
            <w:tcW w:w="1530" w:type="dxa"/>
          </w:tcPr>
          <w:p w14:paraId="31AE8EC7" w14:textId="241C156A" w:rsidR="006462E0" w:rsidRPr="00C046A0" w:rsidRDefault="00061C61">
            <w:pPr>
              <w:pStyle w:val="TableParagraph"/>
              <w:rPr>
                <w:rFonts w:asciiTheme="minorHAnsi" w:hAnsiTheme="minorHAnsi" w:cstheme="minorHAnsi"/>
              </w:rPr>
            </w:pPr>
            <w:r>
              <w:rPr>
                <w:rFonts w:asciiTheme="minorHAnsi" w:hAnsiTheme="minorHAnsi" w:cstheme="minorHAnsi"/>
              </w:rPr>
              <w:t>11/05</w:t>
            </w:r>
          </w:p>
        </w:tc>
      </w:tr>
      <w:tr w:rsidR="006462E0" w:rsidRPr="00C046A0" w14:paraId="31AE8ECF" w14:textId="77777777" w:rsidTr="00053564">
        <w:trPr>
          <w:trHeight w:val="70"/>
        </w:trPr>
        <w:tc>
          <w:tcPr>
            <w:tcW w:w="1540" w:type="dxa"/>
          </w:tcPr>
          <w:p w14:paraId="66A27CDC" w14:textId="77777777" w:rsidR="006462E0" w:rsidRDefault="00D91EA6">
            <w:pPr>
              <w:pStyle w:val="TableParagraph"/>
              <w:spacing w:line="242" w:lineRule="auto"/>
              <w:ind w:left="107" w:right="132"/>
              <w:rPr>
                <w:rFonts w:asciiTheme="minorHAnsi" w:hAnsiTheme="minorHAnsi" w:cstheme="minorHAnsi"/>
                <w:b/>
                <w:spacing w:val="-6"/>
              </w:rPr>
            </w:pPr>
            <w:r w:rsidRPr="00C046A0">
              <w:rPr>
                <w:rFonts w:asciiTheme="minorHAnsi" w:hAnsiTheme="minorHAnsi" w:cstheme="minorHAnsi"/>
                <w:b/>
                <w:spacing w:val="-4"/>
              </w:rPr>
              <w:t xml:space="preserve">Week </w:t>
            </w:r>
            <w:r w:rsidRPr="00C046A0">
              <w:rPr>
                <w:rFonts w:asciiTheme="minorHAnsi" w:hAnsiTheme="minorHAnsi" w:cstheme="minorHAnsi"/>
                <w:b/>
                <w:spacing w:val="-6"/>
              </w:rPr>
              <w:t>11</w:t>
            </w:r>
          </w:p>
          <w:p w14:paraId="31AE8EC9" w14:textId="77777777" w:rsidR="00C046A0" w:rsidRPr="00C046A0" w:rsidRDefault="00C046A0">
            <w:pPr>
              <w:pStyle w:val="TableParagraph"/>
              <w:spacing w:line="242" w:lineRule="auto"/>
              <w:ind w:left="107" w:right="132"/>
              <w:rPr>
                <w:rFonts w:asciiTheme="minorHAnsi" w:hAnsiTheme="minorHAnsi" w:cstheme="minorHAnsi"/>
                <w:b/>
              </w:rPr>
            </w:pPr>
          </w:p>
        </w:tc>
        <w:tc>
          <w:tcPr>
            <w:tcW w:w="1880" w:type="dxa"/>
          </w:tcPr>
          <w:p w14:paraId="31AE8ECA" w14:textId="41E3F015" w:rsidR="006462E0" w:rsidRPr="00C046A0" w:rsidRDefault="005F04EB">
            <w:pPr>
              <w:pStyle w:val="TableParagraph"/>
              <w:rPr>
                <w:rFonts w:asciiTheme="minorHAnsi" w:hAnsiTheme="minorHAnsi" w:cstheme="minorHAnsi"/>
              </w:rPr>
            </w:pPr>
            <w:r>
              <w:rPr>
                <w:rFonts w:asciiTheme="minorHAnsi" w:hAnsiTheme="minorHAnsi" w:cstheme="minorHAnsi"/>
              </w:rPr>
              <w:t>End Terms/Principals</w:t>
            </w:r>
          </w:p>
        </w:tc>
        <w:tc>
          <w:tcPr>
            <w:tcW w:w="3240" w:type="dxa"/>
          </w:tcPr>
          <w:p w14:paraId="31AE8ECB" w14:textId="675E495F" w:rsidR="006462E0" w:rsidRPr="00C046A0" w:rsidRDefault="002F7CA2">
            <w:pPr>
              <w:pStyle w:val="TableParagraph"/>
              <w:rPr>
                <w:rFonts w:asciiTheme="minorHAnsi" w:hAnsiTheme="minorHAnsi" w:cstheme="minorHAnsi"/>
              </w:rPr>
            </w:pPr>
            <w:r>
              <w:rPr>
                <w:rFonts w:asciiTheme="minorHAnsi" w:hAnsiTheme="minorHAnsi" w:cstheme="minorHAnsi"/>
              </w:rPr>
              <w:t xml:space="preserve">Understand Principal relationships, and contract end terms, freight forwarding, and taking possession of goods. </w:t>
            </w:r>
          </w:p>
        </w:tc>
        <w:tc>
          <w:tcPr>
            <w:tcW w:w="1530" w:type="dxa"/>
          </w:tcPr>
          <w:p w14:paraId="1C3C7A17" w14:textId="77777777" w:rsidR="006462E0" w:rsidRDefault="005F04EB">
            <w:pPr>
              <w:pStyle w:val="TableParagraph"/>
              <w:rPr>
                <w:rFonts w:asciiTheme="minorHAnsi" w:hAnsiTheme="minorHAnsi" w:cstheme="minorHAnsi"/>
              </w:rPr>
            </w:pPr>
            <w:r>
              <w:rPr>
                <w:rFonts w:asciiTheme="minorHAnsi" w:hAnsiTheme="minorHAnsi" w:cstheme="minorHAnsi"/>
              </w:rPr>
              <w:t xml:space="preserve">Quiz </w:t>
            </w:r>
          </w:p>
          <w:p w14:paraId="31AE8ECC" w14:textId="7D13AACE" w:rsidR="005F04EB" w:rsidRPr="00C046A0" w:rsidRDefault="005F04EB">
            <w:pPr>
              <w:pStyle w:val="TableParagraph"/>
              <w:rPr>
                <w:rFonts w:asciiTheme="minorHAnsi" w:hAnsiTheme="minorHAnsi" w:cstheme="minorHAnsi"/>
              </w:rPr>
            </w:pPr>
            <w:r>
              <w:rPr>
                <w:rFonts w:asciiTheme="minorHAnsi" w:hAnsiTheme="minorHAnsi" w:cstheme="minorHAnsi"/>
              </w:rPr>
              <w:t>Case Study/Essay</w:t>
            </w:r>
          </w:p>
        </w:tc>
        <w:tc>
          <w:tcPr>
            <w:tcW w:w="1530" w:type="dxa"/>
          </w:tcPr>
          <w:p w14:paraId="6460C2E0" w14:textId="77777777" w:rsidR="006462E0" w:rsidRDefault="005F04EB">
            <w:pPr>
              <w:pStyle w:val="TableParagraph"/>
              <w:rPr>
                <w:rFonts w:asciiTheme="minorHAnsi" w:hAnsiTheme="minorHAnsi" w:cstheme="minorHAnsi"/>
              </w:rPr>
            </w:pPr>
            <w:r>
              <w:rPr>
                <w:rFonts w:asciiTheme="minorHAnsi" w:hAnsiTheme="minorHAnsi" w:cstheme="minorHAnsi"/>
              </w:rPr>
              <w:t>Quiz 9</w:t>
            </w:r>
          </w:p>
          <w:p w14:paraId="31AE8ECD" w14:textId="600839C3" w:rsidR="005F04EB" w:rsidRPr="00C046A0" w:rsidRDefault="005F04EB">
            <w:pPr>
              <w:pStyle w:val="TableParagraph"/>
              <w:rPr>
                <w:rFonts w:asciiTheme="minorHAnsi" w:hAnsiTheme="minorHAnsi" w:cstheme="minorHAnsi"/>
              </w:rPr>
            </w:pPr>
            <w:r>
              <w:rPr>
                <w:rFonts w:asciiTheme="minorHAnsi" w:hAnsiTheme="minorHAnsi" w:cstheme="minorHAnsi"/>
              </w:rPr>
              <w:t>Case study 2</w:t>
            </w:r>
          </w:p>
        </w:tc>
        <w:tc>
          <w:tcPr>
            <w:tcW w:w="1530" w:type="dxa"/>
          </w:tcPr>
          <w:p w14:paraId="31AE8ECE" w14:textId="6C92FD26" w:rsidR="006462E0" w:rsidRPr="00C046A0" w:rsidRDefault="00061C61">
            <w:pPr>
              <w:pStyle w:val="TableParagraph"/>
              <w:rPr>
                <w:rFonts w:asciiTheme="minorHAnsi" w:hAnsiTheme="minorHAnsi" w:cstheme="minorHAnsi"/>
              </w:rPr>
            </w:pPr>
            <w:r>
              <w:rPr>
                <w:rFonts w:asciiTheme="minorHAnsi" w:hAnsiTheme="minorHAnsi" w:cstheme="minorHAnsi"/>
              </w:rPr>
              <w:t>11/12</w:t>
            </w:r>
          </w:p>
        </w:tc>
      </w:tr>
      <w:tr w:rsidR="006462E0" w:rsidRPr="00C046A0" w14:paraId="31AE8ED6" w14:textId="77777777" w:rsidTr="00053564">
        <w:trPr>
          <w:trHeight w:val="70"/>
        </w:trPr>
        <w:tc>
          <w:tcPr>
            <w:tcW w:w="1540" w:type="dxa"/>
          </w:tcPr>
          <w:p w14:paraId="55F01560" w14:textId="77777777" w:rsidR="006462E0" w:rsidRDefault="00D91EA6">
            <w:pPr>
              <w:pStyle w:val="TableParagraph"/>
              <w:ind w:left="107" w:right="132"/>
              <w:rPr>
                <w:rFonts w:asciiTheme="minorHAnsi" w:hAnsiTheme="minorHAnsi" w:cstheme="minorHAnsi"/>
                <w:b/>
                <w:spacing w:val="-6"/>
              </w:rPr>
            </w:pPr>
            <w:r w:rsidRPr="00C046A0">
              <w:rPr>
                <w:rFonts w:asciiTheme="minorHAnsi" w:hAnsiTheme="minorHAnsi" w:cstheme="minorHAnsi"/>
                <w:b/>
                <w:spacing w:val="-4"/>
              </w:rPr>
              <w:t xml:space="preserve">Week </w:t>
            </w:r>
            <w:r w:rsidRPr="00C046A0">
              <w:rPr>
                <w:rFonts w:asciiTheme="minorHAnsi" w:hAnsiTheme="minorHAnsi" w:cstheme="minorHAnsi"/>
                <w:b/>
                <w:spacing w:val="-6"/>
              </w:rPr>
              <w:t>12</w:t>
            </w:r>
          </w:p>
          <w:p w14:paraId="31AE8ED0" w14:textId="77777777" w:rsidR="00C046A0" w:rsidRPr="00C046A0" w:rsidRDefault="00C046A0">
            <w:pPr>
              <w:pStyle w:val="TableParagraph"/>
              <w:ind w:left="107" w:right="132"/>
              <w:rPr>
                <w:rFonts w:asciiTheme="minorHAnsi" w:hAnsiTheme="minorHAnsi" w:cstheme="minorHAnsi"/>
                <w:b/>
              </w:rPr>
            </w:pPr>
          </w:p>
        </w:tc>
        <w:tc>
          <w:tcPr>
            <w:tcW w:w="1880" w:type="dxa"/>
          </w:tcPr>
          <w:p w14:paraId="31AE8ED1" w14:textId="4A778789" w:rsidR="006462E0" w:rsidRPr="00C046A0" w:rsidRDefault="005F04EB">
            <w:pPr>
              <w:pStyle w:val="TableParagraph"/>
              <w:rPr>
                <w:rFonts w:asciiTheme="minorHAnsi" w:hAnsiTheme="minorHAnsi" w:cstheme="minorHAnsi"/>
              </w:rPr>
            </w:pPr>
            <w:r>
              <w:rPr>
                <w:rFonts w:asciiTheme="minorHAnsi" w:hAnsiTheme="minorHAnsi" w:cstheme="minorHAnsi"/>
              </w:rPr>
              <w:t>Foreign Trade Regulation</w:t>
            </w:r>
          </w:p>
        </w:tc>
        <w:tc>
          <w:tcPr>
            <w:tcW w:w="3240" w:type="dxa"/>
          </w:tcPr>
          <w:p w14:paraId="31AE8ED2" w14:textId="02A32309" w:rsidR="006462E0" w:rsidRPr="00C046A0" w:rsidRDefault="00053564">
            <w:pPr>
              <w:pStyle w:val="TableParagraph"/>
              <w:rPr>
                <w:rFonts w:asciiTheme="minorHAnsi" w:hAnsiTheme="minorHAnsi" w:cstheme="minorHAnsi"/>
              </w:rPr>
            </w:pPr>
            <w:r>
              <w:rPr>
                <w:rFonts w:asciiTheme="minorHAnsi" w:hAnsiTheme="minorHAnsi" w:cstheme="minorHAnsi"/>
              </w:rPr>
              <w:t>Intro to Foreign Trade Regulations</w:t>
            </w:r>
          </w:p>
        </w:tc>
        <w:tc>
          <w:tcPr>
            <w:tcW w:w="1530" w:type="dxa"/>
          </w:tcPr>
          <w:p w14:paraId="31AE8ED3" w14:textId="1BEDF56D" w:rsidR="006462E0" w:rsidRPr="00C046A0" w:rsidRDefault="005F04EB">
            <w:pPr>
              <w:pStyle w:val="TableParagraph"/>
              <w:rPr>
                <w:rFonts w:asciiTheme="minorHAnsi" w:hAnsiTheme="minorHAnsi" w:cstheme="minorHAnsi"/>
              </w:rPr>
            </w:pPr>
            <w:r>
              <w:rPr>
                <w:rFonts w:asciiTheme="minorHAnsi" w:hAnsiTheme="minorHAnsi" w:cstheme="minorHAnsi"/>
              </w:rPr>
              <w:t>Quiz</w:t>
            </w:r>
          </w:p>
        </w:tc>
        <w:tc>
          <w:tcPr>
            <w:tcW w:w="1530" w:type="dxa"/>
          </w:tcPr>
          <w:p w14:paraId="31AE8ED4" w14:textId="5AD655E1" w:rsidR="006462E0" w:rsidRPr="00C046A0" w:rsidRDefault="005F04EB">
            <w:pPr>
              <w:pStyle w:val="TableParagraph"/>
              <w:rPr>
                <w:rFonts w:asciiTheme="minorHAnsi" w:hAnsiTheme="minorHAnsi" w:cstheme="minorHAnsi"/>
              </w:rPr>
            </w:pPr>
            <w:r>
              <w:rPr>
                <w:rFonts w:asciiTheme="minorHAnsi" w:hAnsiTheme="minorHAnsi" w:cstheme="minorHAnsi"/>
              </w:rPr>
              <w:t>Quiz 10</w:t>
            </w:r>
          </w:p>
        </w:tc>
        <w:tc>
          <w:tcPr>
            <w:tcW w:w="1530" w:type="dxa"/>
          </w:tcPr>
          <w:p w14:paraId="31AE8ED5" w14:textId="32DB1768" w:rsidR="006462E0" w:rsidRPr="00C046A0" w:rsidRDefault="00061C61">
            <w:pPr>
              <w:pStyle w:val="TableParagraph"/>
              <w:rPr>
                <w:rFonts w:asciiTheme="minorHAnsi" w:hAnsiTheme="minorHAnsi" w:cstheme="minorHAnsi"/>
              </w:rPr>
            </w:pPr>
            <w:r>
              <w:rPr>
                <w:rFonts w:asciiTheme="minorHAnsi" w:hAnsiTheme="minorHAnsi" w:cstheme="minorHAnsi"/>
              </w:rPr>
              <w:t>11/19</w:t>
            </w:r>
          </w:p>
        </w:tc>
      </w:tr>
      <w:tr w:rsidR="006462E0" w:rsidRPr="00C046A0" w14:paraId="31AE8EDD" w14:textId="77777777" w:rsidTr="00053564">
        <w:trPr>
          <w:trHeight w:val="70"/>
        </w:trPr>
        <w:tc>
          <w:tcPr>
            <w:tcW w:w="1540" w:type="dxa"/>
          </w:tcPr>
          <w:p w14:paraId="70F5FB3F" w14:textId="77777777" w:rsidR="006462E0" w:rsidRDefault="00D91EA6">
            <w:pPr>
              <w:pStyle w:val="TableParagraph"/>
              <w:ind w:left="107" w:right="132"/>
              <w:rPr>
                <w:rFonts w:asciiTheme="minorHAnsi" w:hAnsiTheme="minorHAnsi" w:cstheme="minorHAnsi"/>
                <w:b/>
                <w:spacing w:val="-6"/>
              </w:rPr>
            </w:pPr>
            <w:r w:rsidRPr="00C046A0">
              <w:rPr>
                <w:rFonts w:asciiTheme="minorHAnsi" w:hAnsiTheme="minorHAnsi" w:cstheme="minorHAnsi"/>
                <w:b/>
                <w:spacing w:val="-4"/>
              </w:rPr>
              <w:t xml:space="preserve">Week </w:t>
            </w:r>
            <w:r w:rsidRPr="00C046A0">
              <w:rPr>
                <w:rFonts w:asciiTheme="minorHAnsi" w:hAnsiTheme="minorHAnsi" w:cstheme="minorHAnsi"/>
                <w:b/>
                <w:spacing w:val="-6"/>
              </w:rPr>
              <w:t>13</w:t>
            </w:r>
          </w:p>
          <w:p w14:paraId="31AE8ED7" w14:textId="77777777" w:rsidR="00C046A0" w:rsidRPr="00C046A0" w:rsidRDefault="00C046A0">
            <w:pPr>
              <w:pStyle w:val="TableParagraph"/>
              <w:ind w:left="107" w:right="132"/>
              <w:rPr>
                <w:rFonts w:asciiTheme="minorHAnsi" w:hAnsiTheme="minorHAnsi" w:cstheme="minorHAnsi"/>
                <w:b/>
              </w:rPr>
            </w:pPr>
          </w:p>
        </w:tc>
        <w:tc>
          <w:tcPr>
            <w:tcW w:w="1880" w:type="dxa"/>
          </w:tcPr>
          <w:p w14:paraId="31AE8ED8" w14:textId="290FA506" w:rsidR="006462E0" w:rsidRPr="00C046A0" w:rsidRDefault="005F04EB">
            <w:pPr>
              <w:pStyle w:val="TableParagraph"/>
              <w:rPr>
                <w:rFonts w:asciiTheme="minorHAnsi" w:hAnsiTheme="minorHAnsi" w:cstheme="minorHAnsi"/>
              </w:rPr>
            </w:pPr>
            <w:r>
              <w:rPr>
                <w:rFonts w:asciiTheme="minorHAnsi" w:hAnsiTheme="minorHAnsi" w:cstheme="minorHAnsi"/>
              </w:rPr>
              <w:t>Foreign Trade Regulations</w:t>
            </w:r>
          </w:p>
        </w:tc>
        <w:tc>
          <w:tcPr>
            <w:tcW w:w="3240" w:type="dxa"/>
          </w:tcPr>
          <w:p w14:paraId="31AE8ED9" w14:textId="7B84100E" w:rsidR="006462E0" w:rsidRPr="00C046A0" w:rsidRDefault="00053564">
            <w:pPr>
              <w:pStyle w:val="TableParagraph"/>
              <w:rPr>
                <w:rFonts w:asciiTheme="minorHAnsi" w:hAnsiTheme="minorHAnsi" w:cstheme="minorHAnsi"/>
              </w:rPr>
            </w:pPr>
            <w:r>
              <w:rPr>
                <w:rFonts w:asciiTheme="minorHAnsi" w:hAnsiTheme="minorHAnsi" w:cstheme="minorHAnsi"/>
              </w:rPr>
              <w:t>Dive further into foreign Trade regulations</w:t>
            </w:r>
          </w:p>
        </w:tc>
        <w:tc>
          <w:tcPr>
            <w:tcW w:w="1530" w:type="dxa"/>
          </w:tcPr>
          <w:p w14:paraId="31AE8EDA" w14:textId="7A5CE334" w:rsidR="006462E0" w:rsidRPr="00C046A0" w:rsidRDefault="005F04EB">
            <w:pPr>
              <w:pStyle w:val="TableParagraph"/>
              <w:rPr>
                <w:rFonts w:asciiTheme="minorHAnsi" w:hAnsiTheme="minorHAnsi" w:cstheme="minorHAnsi"/>
              </w:rPr>
            </w:pPr>
            <w:r>
              <w:rPr>
                <w:rFonts w:asciiTheme="minorHAnsi" w:hAnsiTheme="minorHAnsi" w:cstheme="minorHAnsi"/>
              </w:rPr>
              <w:t>Quiz</w:t>
            </w:r>
          </w:p>
        </w:tc>
        <w:tc>
          <w:tcPr>
            <w:tcW w:w="1530" w:type="dxa"/>
          </w:tcPr>
          <w:p w14:paraId="31AE8EDB" w14:textId="1CF7A0A5" w:rsidR="006462E0" w:rsidRPr="00C046A0" w:rsidRDefault="005F04EB">
            <w:pPr>
              <w:pStyle w:val="TableParagraph"/>
              <w:rPr>
                <w:rFonts w:asciiTheme="minorHAnsi" w:hAnsiTheme="minorHAnsi" w:cstheme="minorHAnsi"/>
              </w:rPr>
            </w:pPr>
            <w:r>
              <w:rPr>
                <w:rFonts w:asciiTheme="minorHAnsi" w:hAnsiTheme="minorHAnsi" w:cstheme="minorHAnsi"/>
              </w:rPr>
              <w:t>Quiz 11</w:t>
            </w:r>
          </w:p>
        </w:tc>
        <w:tc>
          <w:tcPr>
            <w:tcW w:w="1530" w:type="dxa"/>
          </w:tcPr>
          <w:p w14:paraId="31AE8EDC" w14:textId="025C0F11" w:rsidR="006462E0" w:rsidRPr="00C046A0" w:rsidRDefault="00061C61">
            <w:pPr>
              <w:pStyle w:val="TableParagraph"/>
              <w:rPr>
                <w:rFonts w:asciiTheme="minorHAnsi" w:hAnsiTheme="minorHAnsi" w:cstheme="minorHAnsi"/>
              </w:rPr>
            </w:pPr>
            <w:r>
              <w:rPr>
                <w:rFonts w:asciiTheme="minorHAnsi" w:hAnsiTheme="minorHAnsi" w:cstheme="minorHAnsi"/>
              </w:rPr>
              <w:t>11/26</w:t>
            </w:r>
          </w:p>
        </w:tc>
      </w:tr>
      <w:tr w:rsidR="006462E0" w:rsidRPr="00C046A0" w14:paraId="31AE8EE5" w14:textId="77777777" w:rsidTr="00053564">
        <w:trPr>
          <w:trHeight w:val="70"/>
        </w:trPr>
        <w:tc>
          <w:tcPr>
            <w:tcW w:w="1540" w:type="dxa"/>
          </w:tcPr>
          <w:p w14:paraId="12DBD38A" w14:textId="77777777" w:rsidR="006462E0" w:rsidRDefault="00D91EA6">
            <w:pPr>
              <w:pStyle w:val="TableParagraph"/>
              <w:ind w:left="107" w:right="132"/>
              <w:rPr>
                <w:rFonts w:asciiTheme="minorHAnsi" w:hAnsiTheme="minorHAnsi" w:cstheme="minorHAnsi"/>
                <w:b/>
                <w:spacing w:val="-6"/>
              </w:rPr>
            </w:pPr>
            <w:r w:rsidRPr="00C046A0">
              <w:rPr>
                <w:rFonts w:asciiTheme="minorHAnsi" w:hAnsiTheme="minorHAnsi" w:cstheme="minorHAnsi"/>
                <w:b/>
                <w:spacing w:val="-4"/>
              </w:rPr>
              <w:t xml:space="preserve">Week </w:t>
            </w:r>
            <w:r w:rsidRPr="00C046A0">
              <w:rPr>
                <w:rFonts w:asciiTheme="minorHAnsi" w:hAnsiTheme="minorHAnsi" w:cstheme="minorHAnsi"/>
                <w:b/>
                <w:spacing w:val="-6"/>
              </w:rPr>
              <w:t>14</w:t>
            </w:r>
          </w:p>
          <w:p w14:paraId="31AE8EDF" w14:textId="77777777" w:rsidR="00C046A0" w:rsidRPr="00C046A0" w:rsidRDefault="00C046A0">
            <w:pPr>
              <w:pStyle w:val="TableParagraph"/>
              <w:ind w:left="107" w:right="132"/>
              <w:rPr>
                <w:rFonts w:asciiTheme="minorHAnsi" w:hAnsiTheme="minorHAnsi" w:cstheme="minorHAnsi"/>
                <w:b/>
              </w:rPr>
            </w:pPr>
          </w:p>
        </w:tc>
        <w:tc>
          <w:tcPr>
            <w:tcW w:w="1880" w:type="dxa"/>
          </w:tcPr>
          <w:p w14:paraId="31AE8EE0" w14:textId="473F267E" w:rsidR="006462E0" w:rsidRPr="00C046A0" w:rsidRDefault="005F04EB">
            <w:pPr>
              <w:pStyle w:val="TableParagraph"/>
              <w:rPr>
                <w:rFonts w:asciiTheme="minorHAnsi" w:hAnsiTheme="minorHAnsi" w:cstheme="minorHAnsi"/>
              </w:rPr>
            </w:pPr>
            <w:r>
              <w:rPr>
                <w:rFonts w:asciiTheme="minorHAnsi" w:hAnsiTheme="minorHAnsi" w:cstheme="minorHAnsi"/>
              </w:rPr>
              <w:t>Foreign Trade Regulations</w:t>
            </w:r>
          </w:p>
        </w:tc>
        <w:tc>
          <w:tcPr>
            <w:tcW w:w="3240" w:type="dxa"/>
          </w:tcPr>
          <w:p w14:paraId="31AE8EE1" w14:textId="06DFF27A" w:rsidR="006462E0" w:rsidRPr="00C046A0" w:rsidRDefault="00053564">
            <w:pPr>
              <w:pStyle w:val="TableParagraph"/>
              <w:rPr>
                <w:rFonts w:asciiTheme="minorHAnsi" w:hAnsiTheme="minorHAnsi" w:cstheme="minorHAnsi"/>
              </w:rPr>
            </w:pPr>
            <w:r>
              <w:rPr>
                <w:rFonts w:asciiTheme="minorHAnsi" w:hAnsiTheme="minorHAnsi" w:cstheme="minorHAnsi"/>
              </w:rPr>
              <w:t>Understand Foreign Trade Regulations</w:t>
            </w:r>
          </w:p>
        </w:tc>
        <w:tc>
          <w:tcPr>
            <w:tcW w:w="1530" w:type="dxa"/>
          </w:tcPr>
          <w:p w14:paraId="31AE8EE2" w14:textId="1CC246A3" w:rsidR="006462E0" w:rsidRPr="00C046A0" w:rsidRDefault="005F04EB">
            <w:pPr>
              <w:pStyle w:val="TableParagraph"/>
              <w:rPr>
                <w:rFonts w:asciiTheme="minorHAnsi" w:hAnsiTheme="minorHAnsi" w:cstheme="minorHAnsi"/>
              </w:rPr>
            </w:pPr>
            <w:r>
              <w:rPr>
                <w:rFonts w:asciiTheme="minorHAnsi" w:hAnsiTheme="minorHAnsi" w:cstheme="minorHAnsi"/>
              </w:rPr>
              <w:t>Quiz</w:t>
            </w:r>
          </w:p>
        </w:tc>
        <w:tc>
          <w:tcPr>
            <w:tcW w:w="1530" w:type="dxa"/>
          </w:tcPr>
          <w:p w14:paraId="31AE8EE3" w14:textId="1903B802" w:rsidR="006462E0" w:rsidRPr="00C046A0" w:rsidRDefault="005F04EB">
            <w:pPr>
              <w:pStyle w:val="TableParagraph"/>
              <w:rPr>
                <w:rFonts w:asciiTheme="minorHAnsi" w:hAnsiTheme="minorHAnsi" w:cstheme="minorHAnsi"/>
              </w:rPr>
            </w:pPr>
            <w:r>
              <w:rPr>
                <w:rFonts w:asciiTheme="minorHAnsi" w:hAnsiTheme="minorHAnsi" w:cstheme="minorHAnsi"/>
              </w:rPr>
              <w:t>Quiz 12</w:t>
            </w:r>
          </w:p>
        </w:tc>
        <w:tc>
          <w:tcPr>
            <w:tcW w:w="1530" w:type="dxa"/>
          </w:tcPr>
          <w:p w14:paraId="31AE8EE4" w14:textId="7E13DD51" w:rsidR="006462E0" w:rsidRPr="00C046A0" w:rsidRDefault="00061C61">
            <w:pPr>
              <w:pStyle w:val="TableParagraph"/>
              <w:rPr>
                <w:rFonts w:asciiTheme="minorHAnsi" w:hAnsiTheme="minorHAnsi" w:cstheme="minorHAnsi"/>
              </w:rPr>
            </w:pPr>
            <w:r>
              <w:rPr>
                <w:rFonts w:asciiTheme="minorHAnsi" w:hAnsiTheme="minorHAnsi" w:cstheme="minorHAnsi"/>
              </w:rPr>
              <w:t>12/03</w:t>
            </w:r>
          </w:p>
        </w:tc>
      </w:tr>
      <w:tr w:rsidR="006462E0" w:rsidRPr="00C046A0" w14:paraId="31AE8EEC" w14:textId="77777777" w:rsidTr="00F423FC">
        <w:trPr>
          <w:trHeight w:val="278"/>
        </w:trPr>
        <w:tc>
          <w:tcPr>
            <w:tcW w:w="1540" w:type="dxa"/>
          </w:tcPr>
          <w:p w14:paraId="334BFA3C" w14:textId="77777777" w:rsidR="006462E0" w:rsidRDefault="00D91EA6">
            <w:pPr>
              <w:pStyle w:val="TableParagraph"/>
              <w:spacing w:before="1"/>
              <w:ind w:left="107" w:right="132"/>
              <w:rPr>
                <w:rFonts w:asciiTheme="minorHAnsi" w:hAnsiTheme="minorHAnsi" w:cstheme="minorHAnsi"/>
                <w:b/>
                <w:spacing w:val="-6"/>
              </w:rPr>
            </w:pPr>
            <w:r w:rsidRPr="00C046A0">
              <w:rPr>
                <w:rFonts w:asciiTheme="minorHAnsi" w:hAnsiTheme="minorHAnsi" w:cstheme="minorHAnsi"/>
                <w:b/>
                <w:spacing w:val="-4"/>
              </w:rPr>
              <w:t xml:space="preserve">Week </w:t>
            </w:r>
            <w:r w:rsidRPr="00C046A0">
              <w:rPr>
                <w:rFonts w:asciiTheme="minorHAnsi" w:hAnsiTheme="minorHAnsi" w:cstheme="minorHAnsi"/>
                <w:b/>
                <w:spacing w:val="-6"/>
              </w:rPr>
              <w:t>15</w:t>
            </w:r>
          </w:p>
          <w:p w14:paraId="31AE8EE6" w14:textId="77777777" w:rsidR="00C046A0" w:rsidRPr="00C046A0" w:rsidRDefault="00C046A0" w:rsidP="00F423FC">
            <w:pPr>
              <w:pStyle w:val="TableParagraph"/>
              <w:spacing w:before="1"/>
              <w:ind w:right="132"/>
              <w:rPr>
                <w:rFonts w:asciiTheme="minorHAnsi" w:hAnsiTheme="minorHAnsi" w:cstheme="minorHAnsi"/>
                <w:b/>
              </w:rPr>
            </w:pPr>
          </w:p>
        </w:tc>
        <w:tc>
          <w:tcPr>
            <w:tcW w:w="1880" w:type="dxa"/>
          </w:tcPr>
          <w:p w14:paraId="31AE8EE7" w14:textId="3DFFF278" w:rsidR="006462E0" w:rsidRPr="00C046A0" w:rsidRDefault="005F04EB">
            <w:pPr>
              <w:pStyle w:val="TableParagraph"/>
              <w:rPr>
                <w:rFonts w:asciiTheme="minorHAnsi" w:hAnsiTheme="minorHAnsi" w:cstheme="minorHAnsi"/>
              </w:rPr>
            </w:pPr>
            <w:r>
              <w:rPr>
                <w:rFonts w:asciiTheme="minorHAnsi" w:hAnsiTheme="minorHAnsi" w:cstheme="minorHAnsi"/>
              </w:rPr>
              <w:t xml:space="preserve">Final </w:t>
            </w:r>
          </w:p>
        </w:tc>
        <w:tc>
          <w:tcPr>
            <w:tcW w:w="3240" w:type="dxa"/>
          </w:tcPr>
          <w:p w14:paraId="31AE8EE8" w14:textId="13631A76" w:rsidR="006462E0" w:rsidRPr="00C046A0" w:rsidRDefault="00053564">
            <w:pPr>
              <w:pStyle w:val="TableParagraph"/>
              <w:rPr>
                <w:rFonts w:asciiTheme="minorHAnsi" w:hAnsiTheme="minorHAnsi" w:cstheme="minorHAnsi"/>
              </w:rPr>
            </w:pPr>
            <w:r>
              <w:rPr>
                <w:rFonts w:asciiTheme="minorHAnsi" w:hAnsiTheme="minorHAnsi" w:cstheme="minorHAnsi"/>
              </w:rPr>
              <w:t>Final Exam Week</w:t>
            </w:r>
          </w:p>
        </w:tc>
        <w:tc>
          <w:tcPr>
            <w:tcW w:w="1530" w:type="dxa"/>
          </w:tcPr>
          <w:p w14:paraId="31AE8EE9" w14:textId="370CD716" w:rsidR="006462E0" w:rsidRPr="00C046A0" w:rsidRDefault="005F04EB">
            <w:pPr>
              <w:pStyle w:val="TableParagraph"/>
              <w:rPr>
                <w:rFonts w:asciiTheme="minorHAnsi" w:hAnsiTheme="minorHAnsi" w:cstheme="minorHAnsi"/>
              </w:rPr>
            </w:pPr>
            <w:r>
              <w:rPr>
                <w:rFonts w:asciiTheme="minorHAnsi" w:hAnsiTheme="minorHAnsi" w:cstheme="minorHAnsi"/>
              </w:rPr>
              <w:t>Examination</w:t>
            </w:r>
          </w:p>
        </w:tc>
        <w:tc>
          <w:tcPr>
            <w:tcW w:w="1530" w:type="dxa"/>
          </w:tcPr>
          <w:p w14:paraId="31AE8EEA" w14:textId="60DC271C" w:rsidR="006462E0" w:rsidRPr="00C046A0" w:rsidRDefault="005F04EB">
            <w:pPr>
              <w:pStyle w:val="TableParagraph"/>
              <w:rPr>
                <w:rFonts w:asciiTheme="minorHAnsi" w:hAnsiTheme="minorHAnsi" w:cstheme="minorHAnsi"/>
              </w:rPr>
            </w:pPr>
            <w:r>
              <w:rPr>
                <w:rFonts w:asciiTheme="minorHAnsi" w:hAnsiTheme="minorHAnsi" w:cstheme="minorHAnsi"/>
              </w:rPr>
              <w:t>Final Exam</w:t>
            </w:r>
          </w:p>
        </w:tc>
        <w:tc>
          <w:tcPr>
            <w:tcW w:w="1530" w:type="dxa"/>
          </w:tcPr>
          <w:p w14:paraId="31AE8EEB" w14:textId="48B9C318" w:rsidR="006462E0" w:rsidRPr="00C046A0" w:rsidRDefault="00061C61">
            <w:pPr>
              <w:pStyle w:val="TableParagraph"/>
              <w:rPr>
                <w:rFonts w:asciiTheme="minorHAnsi" w:hAnsiTheme="minorHAnsi" w:cstheme="minorHAnsi"/>
              </w:rPr>
            </w:pPr>
            <w:r>
              <w:rPr>
                <w:rFonts w:asciiTheme="minorHAnsi" w:hAnsiTheme="minorHAnsi" w:cstheme="minorHAnsi"/>
              </w:rPr>
              <w:t>12/10</w:t>
            </w:r>
          </w:p>
        </w:tc>
      </w:tr>
    </w:tbl>
    <w:p w14:paraId="31AE8F3B" w14:textId="77777777" w:rsidR="006462E0" w:rsidRPr="00C046A0" w:rsidRDefault="006462E0" w:rsidP="00F423FC">
      <w:pPr>
        <w:pStyle w:val="BodyText"/>
        <w:ind w:left="0" w:firstLine="0"/>
        <w:rPr>
          <w:rFonts w:asciiTheme="minorHAnsi" w:hAnsiTheme="minorHAnsi" w:cstheme="minorHAnsi"/>
          <w:sz w:val="22"/>
          <w:szCs w:val="22"/>
        </w:rPr>
      </w:pPr>
    </w:p>
    <w:sectPr w:rsidR="006462E0" w:rsidRPr="00C046A0" w:rsidSect="00C046A0">
      <w:footerReference w:type="default" r:id="rId10"/>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4CB6A" w14:textId="77777777" w:rsidR="005F3926" w:rsidRDefault="005F3926">
      <w:r>
        <w:separator/>
      </w:r>
    </w:p>
  </w:endnote>
  <w:endnote w:type="continuationSeparator" w:id="0">
    <w:p w14:paraId="2950D905" w14:textId="77777777" w:rsidR="005F3926" w:rsidRDefault="005F3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D23C6" w14:textId="77777777" w:rsidR="005F3926" w:rsidRDefault="005F3926">
      <w:r>
        <w:separator/>
      </w:r>
    </w:p>
  </w:footnote>
  <w:footnote w:type="continuationSeparator" w:id="0">
    <w:p w14:paraId="777F2869" w14:textId="77777777" w:rsidR="005F3926" w:rsidRDefault="005F39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1" w15:restartNumberingAfterBreak="0">
    <w:nsid w:val="3DDB334A"/>
    <w:multiLevelType w:val="hybridMultilevel"/>
    <w:tmpl w:val="AED6C144"/>
    <w:lvl w:ilvl="0" w:tplc="D7EAA6EA">
      <w:numFmt w:val="bullet"/>
      <w:lvlText w:val="•"/>
      <w:lvlJc w:val="left"/>
      <w:pPr>
        <w:ind w:left="450" w:hanging="360"/>
      </w:pPr>
      <w:rPr>
        <w:rFonts w:ascii="Calibri" w:eastAsiaTheme="minorHAnsi" w:hAnsi="Calibri" w:cs="Calibri"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54EE6F1A"/>
    <w:multiLevelType w:val="hybridMultilevel"/>
    <w:tmpl w:val="C9DED2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842ED9"/>
    <w:multiLevelType w:val="hybridMultilevel"/>
    <w:tmpl w:val="A9362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598572">
    <w:abstractNumId w:val="0"/>
  </w:num>
  <w:num w:numId="2" w16cid:durableId="41712763">
    <w:abstractNumId w:val="1"/>
  </w:num>
  <w:num w:numId="3" w16cid:durableId="153185709">
    <w:abstractNumId w:val="2"/>
  </w:num>
  <w:num w:numId="4" w16cid:durableId="17755871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ocumentProtection w:edit="readOnly" w:enforcement="1" w:cryptProviderType="rsaAES" w:cryptAlgorithmClass="hash" w:cryptAlgorithmType="typeAny" w:cryptAlgorithmSid="14" w:cryptSpinCount="100000" w:hash="C8jKf01oZGSiBc5DNZTCsB8i7f/vkfN7MHThCL+h8TqfiOXEu64ALxMcsuY2AQUoOvyPAnbm4iosty13QRUSQA==" w:salt="Zg4iZC0buADSIfiBxaMLvg=="/>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53564"/>
    <w:rsid w:val="00061C61"/>
    <w:rsid w:val="0007461B"/>
    <w:rsid w:val="00104EE2"/>
    <w:rsid w:val="00147040"/>
    <w:rsid w:val="00195F62"/>
    <w:rsid w:val="001C6DF4"/>
    <w:rsid w:val="00233C0A"/>
    <w:rsid w:val="00280E01"/>
    <w:rsid w:val="002F7CA2"/>
    <w:rsid w:val="0032791C"/>
    <w:rsid w:val="00347BE9"/>
    <w:rsid w:val="003C6959"/>
    <w:rsid w:val="004300A2"/>
    <w:rsid w:val="00436E1B"/>
    <w:rsid w:val="005578D6"/>
    <w:rsid w:val="005D1E13"/>
    <w:rsid w:val="005F04EB"/>
    <w:rsid w:val="005F3926"/>
    <w:rsid w:val="006462E0"/>
    <w:rsid w:val="0067368A"/>
    <w:rsid w:val="00687CAD"/>
    <w:rsid w:val="006A56D2"/>
    <w:rsid w:val="00760D01"/>
    <w:rsid w:val="007778B7"/>
    <w:rsid w:val="007A7972"/>
    <w:rsid w:val="007F72F2"/>
    <w:rsid w:val="00865B05"/>
    <w:rsid w:val="008C441B"/>
    <w:rsid w:val="00976F69"/>
    <w:rsid w:val="009826D0"/>
    <w:rsid w:val="00995196"/>
    <w:rsid w:val="009A0050"/>
    <w:rsid w:val="009D3B85"/>
    <w:rsid w:val="00A3608A"/>
    <w:rsid w:val="00A86695"/>
    <w:rsid w:val="00B352E6"/>
    <w:rsid w:val="00BB2A21"/>
    <w:rsid w:val="00C046A0"/>
    <w:rsid w:val="00C065D1"/>
    <w:rsid w:val="00C15FD0"/>
    <w:rsid w:val="00D457F1"/>
    <w:rsid w:val="00D91EA6"/>
    <w:rsid w:val="00E0516F"/>
    <w:rsid w:val="00E37658"/>
    <w:rsid w:val="00E805F5"/>
    <w:rsid w:val="00F42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99"/>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character" w:styleId="UnresolvedMention">
    <w:name w:val="Unresolved Mention"/>
    <w:basedOn w:val="DefaultParagraphFont"/>
    <w:uiPriority w:val="99"/>
    <w:semiHidden/>
    <w:unhideWhenUsed/>
    <w:rsid w:val="005578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jbrown@cscc.edu"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scc.edu/syllabus"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CED11F-E1CA-48C8-99B6-E946FFF60930}"/>
</file>

<file path=customXml/itemProps2.xml><?xml version="1.0" encoding="utf-8"?>
<ds:datastoreItem xmlns:ds="http://schemas.openxmlformats.org/officeDocument/2006/customXml" ds:itemID="{07EEF6A5-A6CE-455F-B317-1BFBC3D60922}"/>
</file>

<file path=customXml/itemProps3.xml><?xml version="1.0" encoding="utf-8"?>
<ds:datastoreItem xmlns:ds="http://schemas.openxmlformats.org/officeDocument/2006/customXml" ds:itemID="{768E25F1-311B-49B3-BE0B-0D345A36B3AC}"/>
</file>

<file path=docProps/app.xml><?xml version="1.0" encoding="utf-8"?>
<Properties xmlns="http://schemas.openxmlformats.org/officeDocument/2006/extended-properties" xmlns:vt="http://schemas.openxmlformats.org/officeDocument/2006/docPropsVTypes">
  <Template>Normal</Template>
  <TotalTime>2</TotalTime>
  <Pages>3</Pages>
  <Words>917</Words>
  <Characters>5232</Characters>
  <Application>Microsoft Office Word</Application>
  <DocSecurity>8</DocSecurity>
  <Lines>43</Lines>
  <Paragraphs>12</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Andrew Filippi</cp:lastModifiedBy>
  <cp:revision>3</cp:revision>
  <dcterms:created xsi:type="dcterms:W3CDTF">2025-08-08T15:24:00Z</dcterms:created>
  <dcterms:modified xsi:type="dcterms:W3CDTF">2026-04-08T18:12:00Z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GrammarlyDocumentId">
    <vt:lpwstr>6f5ee8b7-d08a-4f91-98e9-0bfe4ba912e8</vt:lpwstr>
  </property>
  <property fmtid="{D5CDD505-2E9C-101B-9397-08002B2CF9AE}" pid="8" name="ContentTypeId">
    <vt:lpwstr>0x010100FC428F8516A6A144A440BBF125BAC42B</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ies>
</file>