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ADF171" w14:textId="2C287128" w:rsidR="0008780E" w:rsidRDefault="00C75E7A" w:rsidP="0008780E">
      <w:pPr>
        <w:ind w:left="4320" w:firstLine="720"/>
        <w:jc w:val="center"/>
        <w:rPr>
          <w:rFonts w:cs="Arial"/>
          <w:b/>
          <w:sz w:val="28"/>
        </w:rPr>
      </w:pPr>
      <w:r>
        <w:rPr>
          <w:noProof/>
        </w:rPr>
        <w:drawing>
          <wp:anchor distT="0" distB="0" distL="114300" distR="114300" simplePos="0" relativeHeight="251657728" behindDoc="1" locked="0" layoutInCell="1" allowOverlap="1" wp14:anchorId="5740D459" wp14:editId="2FE1ECCC">
            <wp:simplePos x="0" y="0"/>
            <wp:positionH relativeFrom="column">
              <wp:posOffset>285750</wp:posOffset>
            </wp:positionH>
            <wp:positionV relativeFrom="paragraph">
              <wp:posOffset>-174625</wp:posOffset>
            </wp:positionV>
            <wp:extent cx="2441575" cy="1431925"/>
            <wp:effectExtent l="0" t="0" r="0" b="0"/>
            <wp:wrapNone/>
            <wp:docPr id="2" name="Picture 3" descr="DeptLogos_ParaL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Logos_ParaLeg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1575" cy="1431925"/>
                    </a:xfrm>
                    <a:prstGeom prst="rect">
                      <a:avLst/>
                    </a:prstGeom>
                    <a:noFill/>
                  </pic:spPr>
                </pic:pic>
              </a:graphicData>
            </a:graphic>
            <wp14:sizeRelH relativeFrom="page">
              <wp14:pctWidth>0</wp14:pctWidth>
            </wp14:sizeRelH>
            <wp14:sizeRelV relativeFrom="page">
              <wp14:pctHeight>0</wp14:pctHeight>
            </wp14:sizeRelV>
          </wp:anchor>
        </w:drawing>
      </w:r>
      <w:r w:rsidR="0008780E">
        <w:rPr>
          <w:rFonts w:cs="Arial"/>
          <w:b/>
          <w:sz w:val="28"/>
        </w:rPr>
        <w:t>Columbus State Community College</w:t>
      </w:r>
    </w:p>
    <w:p w14:paraId="43141CDF" w14:textId="77777777" w:rsidR="0008780E" w:rsidRDefault="0008780E" w:rsidP="0008780E">
      <w:pPr>
        <w:jc w:val="right"/>
        <w:rPr>
          <w:rFonts w:cs="Arial"/>
          <w:b/>
          <w:sz w:val="28"/>
        </w:rPr>
      </w:pPr>
      <w:r>
        <w:rPr>
          <w:rFonts w:cs="Arial"/>
          <w:b/>
          <w:sz w:val="28"/>
        </w:rPr>
        <w:t>Justice, Safety &amp;Legal Studies Department</w:t>
      </w:r>
    </w:p>
    <w:p w14:paraId="75A45FEA" w14:textId="77777777" w:rsidR="0008780E" w:rsidRDefault="0008780E" w:rsidP="0008780E">
      <w:pPr>
        <w:jc w:val="right"/>
        <w:rPr>
          <w:rFonts w:cs="Arial"/>
          <w:b/>
          <w:sz w:val="28"/>
        </w:rPr>
      </w:pPr>
      <w:r>
        <w:rPr>
          <w:rFonts w:cs="Arial"/>
          <w:b/>
          <w:sz w:val="28"/>
        </w:rPr>
        <w:t>Paralegal Studies Program</w:t>
      </w:r>
    </w:p>
    <w:p w14:paraId="3E008A18" w14:textId="77777777" w:rsidR="0008780E" w:rsidRDefault="0008780E" w:rsidP="0008780E">
      <w:pPr>
        <w:rPr>
          <w:rFonts w:cs="Arial"/>
          <w:b/>
          <w:sz w:val="28"/>
        </w:rPr>
      </w:pPr>
    </w:p>
    <w:p w14:paraId="35BE9EC0" w14:textId="77777777" w:rsidR="0008780E" w:rsidRDefault="0008780E" w:rsidP="0008780E">
      <w:pPr>
        <w:rPr>
          <w:rFonts w:cs="Arial"/>
          <w:b/>
          <w:sz w:val="24"/>
        </w:rPr>
      </w:pPr>
    </w:p>
    <w:p w14:paraId="6CDCF208" w14:textId="77777777" w:rsidR="0008780E" w:rsidRDefault="0008780E" w:rsidP="0008780E">
      <w:pPr>
        <w:rPr>
          <w:rFonts w:cs="Arial"/>
          <w:b/>
        </w:rPr>
      </w:pPr>
      <w:r>
        <w:rPr>
          <w:rFonts w:cs="Arial"/>
          <w:b/>
        </w:rPr>
        <w:t>COURSE:     Legal Research an</w:t>
      </w:r>
      <w:r w:rsidR="00EF52D3">
        <w:rPr>
          <w:rFonts w:cs="Arial"/>
          <w:b/>
        </w:rPr>
        <w:t>d Writing LEGL 1111, Spring</w:t>
      </w:r>
      <w:r w:rsidR="00600F47">
        <w:rPr>
          <w:rFonts w:cs="Arial"/>
          <w:b/>
        </w:rPr>
        <w:t xml:space="preserve"> </w:t>
      </w:r>
      <w:r w:rsidR="004F0579">
        <w:rPr>
          <w:rFonts w:cs="Arial"/>
          <w:b/>
        </w:rPr>
        <w:t>2024</w:t>
      </w:r>
      <w:r w:rsidR="002C1974">
        <w:rPr>
          <w:rFonts w:cs="Arial"/>
          <w:b/>
        </w:rPr>
        <w:t>.</w:t>
      </w:r>
    </w:p>
    <w:p w14:paraId="733E0547" w14:textId="77777777" w:rsidR="0008780E" w:rsidRDefault="00EE20BB" w:rsidP="0008780E">
      <w:pPr>
        <w:rPr>
          <w:rFonts w:cs="Arial"/>
          <w:b/>
        </w:rPr>
      </w:pPr>
      <w:r>
        <w:rPr>
          <w:rFonts w:cs="Arial"/>
          <w:b/>
        </w:rPr>
        <w:tab/>
        <w:t xml:space="preserve">       </w:t>
      </w:r>
      <w:r w:rsidR="004F0579">
        <w:rPr>
          <w:rFonts w:cs="Arial"/>
          <w:b/>
        </w:rPr>
        <w:t>MW, 2:00 – 3:50 p.m., January 17</w:t>
      </w:r>
      <w:r w:rsidR="00EF52D3">
        <w:rPr>
          <w:rFonts w:cs="Arial"/>
          <w:b/>
        </w:rPr>
        <w:t xml:space="preserve"> – May</w:t>
      </w:r>
      <w:r w:rsidR="004F0579">
        <w:rPr>
          <w:rFonts w:cs="Arial"/>
          <w:b/>
        </w:rPr>
        <w:t xml:space="preserve"> 8, 2024; Franklin 310</w:t>
      </w:r>
      <w:r w:rsidR="0008780E">
        <w:rPr>
          <w:rFonts w:cs="Arial"/>
          <w:b/>
        </w:rPr>
        <w:t>.</w:t>
      </w:r>
    </w:p>
    <w:p w14:paraId="2D5D760C" w14:textId="77777777" w:rsidR="0008780E" w:rsidRDefault="0008780E" w:rsidP="0008780E">
      <w:pPr>
        <w:rPr>
          <w:rFonts w:cs="Arial"/>
          <w:b/>
        </w:rPr>
      </w:pPr>
      <w:r>
        <w:rPr>
          <w:rFonts w:cs="Arial"/>
          <w:b/>
        </w:rPr>
        <w:t xml:space="preserve">INSTRUCTOR:  Arthur J. Marziale, Jr.  </w:t>
      </w:r>
      <w:hyperlink r:id="rId12" w:history="1">
        <w:r>
          <w:rPr>
            <w:rStyle w:val="Hyperlink"/>
            <w:rFonts w:cs="Arial"/>
            <w:b/>
          </w:rPr>
          <w:t>amarzial@cscc.edu</w:t>
        </w:r>
      </w:hyperlink>
      <w:r>
        <w:rPr>
          <w:rFonts w:cs="Arial"/>
          <w:b/>
        </w:rPr>
        <w:t xml:space="preserve">    (note that “e” is dropped)</w:t>
      </w:r>
    </w:p>
    <w:p w14:paraId="75866A92" w14:textId="77777777" w:rsidR="0008780E" w:rsidRPr="0008780E" w:rsidRDefault="0008780E" w:rsidP="0008780E">
      <w:pPr>
        <w:rPr>
          <w:color w:val="000000"/>
        </w:rPr>
      </w:pPr>
      <w:r>
        <w:rPr>
          <w:rFonts w:cs="Arial"/>
          <w:b/>
        </w:rPr>
        <w:t xml:space="preserve">DESCRIPTION OF COURSE: </w:t>
      </w:r>
      <w:r>
        <w:rPr>
          <w:color w:val="000000"/>
        </w:rPr>
        <w:t xml:space="preserve">This course is </w:t>
      </w:r>
      <w:proofErr w:type="gramStart"/>
      <w:r>
        <w:rPr>
          <w:color w:val="000000"/>
        </w:rPr>
        <w:t>an intense production-oriented research</w:t>
      </w:r>
      <w:proofErr w:type="gramEnd"/>
      <w:r>
        <w:rPr>
          <w:color w:val="000000"/>
        </w:rPr>
        <w:t xml:space="preserve"> and writing course designed to prepare the student to function under the requirement of rapid completion of research and writing assignments commonly made in law offices and other legal environments. The student will encounter a variety of opportunities including motions, pleadings and briefs, the production of which will require both speed and accuracy and will incorporate both printed and computer-based research strategies. </w:t>
      </w:r>
    </w:p>
    <w:p w14:paraId="40B3566E" w14:textId="77777777" w:rsidR="0008780E" w:rsidRDefault="0008780E" w:rsidP="0008780E">
      <w:pPr>
        <w:rPr>
          <w:rFonts w:cs="Arial"/>
          <w:b/>
        </w:rPr>
      </w:pPr>
      <w:r>
        <w:rPr>
          <w:rFonts w:cs="Arial"/>
          <w:b/>
        </w:rPr>
        <w:t>STUDENT LEARNING OUTCOMES</w:t>
      </w:r>
    </w:p>
    <w:p w14:paraId="3B078950" w14:textId="77777777" w:rsidR="0008780E" w:rsidRDefault="0008780E" w:rsidP="0008780E">
      <w:pPr>
        <w:spacing w:after="0" w:line="240" w:lineRule="auto"/>
        <w:rPr>
          <w:rFonts w:cs="Arial"/>
        </w:rPr>
      </w:pPr>
      <w:r>
        <w:rPr>
          <w:rFonts w:cs="Arial"/>
        </w:rPr>
        <w:t>Explain the legal principles used in research.</w:t>
      </w:r>
    </w:p>
    <w:p w14:paraId="2B2B8340" w14:textId="77777777" w:rsidR="0008780E" w:rsidRDefault="0008780E" w:rsidP="0008780E">
      <w:pPr>
        <w:spacing w:after="0" w:line="240" w:lineRule="auto"/>
        <w:rPr>
          <w:rFonts w:cs="Arial"/>
        </w:rPr>
      </w:pPr>
      <w:r>
        <w:rPr>
          <w:rFonts w:cs="Arial"/>
        </w:rPr>
        <w:t>Ethics: Evaluate the duty of competence in legal research.</w:t>
      </w:r>
    </w:p>
    <w:p w14:paraId="3F570923" w14:textId="77777777" w:rsidR="0008780E" w:rsidRDefault="0008780E" w:rsidP="0008780E">
      <w:pPr>
        <w:spacing w:after="0" w:line="240" w:lineRule="auto"/>
        <w:rPr>
          <w:rFonts w:cs="Arial"/>
        </w:rPr>
      </w:pPr>
      <w:r>
        <w:rPr>
          <w:rFonts w:cs="Arial"/>
        </w:rPr>
        <w:t>Identify the various types of legal authority.</w:t>
      </w:r>
    </w:p>
    <w:p w14:paraId="09066A38" w14:textId="77777777" w:rsidR="0008780E" w:rsidRDefault="0008780E" w:rsidP="0008780E">
      <w:pPr>
        <w:spacing w:after="0" w:line="240" w:lineRule="auto"/>
        <w:rPr>
          <w:rFonts w:cs="Arial"/>
        </w:rPr>
      </w:pPr>
      <w:r>
        <w:rPr>
          <w:rFonts w:cs="Arial"/>
        </w:rPr>
        <w:t>Describe case law and its role in legal research.</w:t>
      </w:r>
    </w:p>
    <w:p w14:paraId="5625AC67" w14:textId="77777777" w:rsidR="0008780E" w:rsidRDefault="0008780E" w:rsidP="0008780E">
      <w:pPr>
        <w:spacing w:after="0" w:line="240" w:lineRule="auto"/>
        <w:rPr>
          <w:rFonts w:cs="Arial"/>
        </w:rPr>
      </w:pPr>
      <w:r>
        <w:rPr>
          <w:rFonts w:cs="Arial"/>
        </w:rPr>
        <w:t>Explain the legal analysis process.</w:t>
      </w:r>
    </w:p>
    <w:p w14:paraId="7E53BEE2" w14:textId="77777777" w:rsidR="0008780E" w:rsidRDefault="0008780E" w:rsidP="0008780E">
      <w:pPr>
        <w:spacing w:after="0" w:line="240" w:lineRule="auto"/>
        <w:rPr>
          <w:rFonts w:cs="Arial"/>
        </w:rPr>
      </w:pPr>
      <w:r>
        <w:rPr>
          <w:rFonts w:cs="Arial"/>
        </w:rPr>
        <w:t>Legal Research: Distinguish between library legal resources and electronic resources.</w:t>
      </w:r>
    </w:p>
    <w:p w14:paraId="6DCEF1A3" w14:textId="77777777" w:rsidR="0008780E" w:rsidRDefault="0008780E" w:rsidP="0008780E">
      <w:pPr>
        <w:spacing w:after="0" w:line="240" w:lineRule="auto"/>
        <w:rPr>
          <w:rFonts w:cs="Arial"/>
        </w:rPr>
      </w:pPr>
      <w:r>
        <w:rPr>
          <w:rFonts w:cs="Arial"/>
        </w:rPr>
        <w:t>Perform legal research.</w:t>
      </w:r>
    </w:p>
    <w:p w14:paraId="3718FF10" w14:textId="77777777" w:rsidR="0008780E" w:rsidRDefault="0008780E" w:rsidP="0008780E">
      <w:pPr>
        <w:spacing w:after="0" w:line="240" w:lineRule="auto"/>
        <w:rPr>
          <w:rFonts w:cs="Arial"/>
        </w:rPr>
      </w:pPr>
      <w:r>
        <w:rPr>
          <w:rFonts w:cs="Arial"/>
        </w:rPr>
        <w:t>Conduct legal research using</w:t>
      </w:r>
      <w:r w:rsidR="007E28FA">
        <w:rPr>
          <w:rFonts w:cs="Arial"/>
        </w:rPr>
        <w:t xml:space="preserve"> Lexis &amp;</w:t>
      </w:r>
      <w:r>
        <w:rPr>
          <w:rFonts w:cs="Arial"/>
        </w:rPr>
        <w:t xml:space="preserve"> Westlaw.</w:t>
      </w:r>
    </w:p>
    <w:p w14:paraId="54FDE499" w14:textId="77777777" w:rsidR="0008780E" w:rsidRDefault="0008780E" w:rsidP="0008780E">
      <w:pPr>
        <w:spacing w:after="0" w:line="240" w:lineRule="auto"/>
        <w:rPr>
          <w:rFonts w:cs="Arial"/>
        </w:rPr>
      </w:pPr>
      <w:r>
        <w:rPr>
          <w:rFonts w:cs="Arial"/>
        </w:rPr>
        <w:t>Re</w:t>
      </w:r>
      <w:r w:rsidR="007E28FA">
        <w:rPr>
          <w:rFonts w:cs="Arial"/>
        </w:rPr>
        <w:t>view official citation formats.</w:t>
      </w:r>
    </w:p>
    <w:p w14:paraId="2B37AEFB" w14:textId="77777777" w:rsidR="0008780E" w:rsidRPr="007E28FA" w:rsidRDefault="007E28FA" w:rsidP="007E28FA">
      <w:pPr>
        <w:spacing w:after="0" w:line="240" w:lineRule="auto"/>
        <w:rPr>
          <w:rStyle w:val="Strong"/>
          <w:rFonts w:cs="Arial"/>
          <w:b w:val="0"/>
          <w:bCs w:val="0"/>
        </w:rPr>
      </w:pPr>
      <w:r>
        <w:rPr>
          <w:rFonts w:cs="Arial"/>
        </w:rPr>
        <w:t>Draft legal memoranda.</w:t>
      </w:r>
    </w:p>
    <w:p w14:paraId="12408E28" w14:textId="77777777" w:rsidR="0008780E" w:rsidRDefault="0008780E" w:rsidP="0008780E">
      <w:pPr>
        <w:rPr>
          <w:rFonts w:cs="Arial"/>
          <w:b/>
        </w:rPr>
      </w:pPr>
      <w:r>
        <w:rPr>
          <w:rFonts w:cs="Arial"/>
          <w:b/>
        </w:rPr>
        <w:t>COURSE MATERIALS REQUIRED:</w:t>
      </w:r>
    </w:p>
    <w:p w14:paraId="519A4622" w14:textId="77777777" w:rsidR="0008780E" w:rsidRDefault="0008780E" w:rsidP="0008780E">
      <w:pPr>
        <w:rPr>
          <w:rFonts w:cs="Arial"/>
        </w:rPr>
      </w:pPr>
      <w:r>
        <w:rPr>
          <w:rFonts w:cs="Arial"/>
        </w:rPr>
        <w:t>Legal Research and Writing for Pa</w:t>
      </w:r>
      <w:r w:rsidR="0043031B">
        <w:rPr>
          <w:rFonts w:cs="Arial"/>
        </w:rPr>
        <w:t xml:space="preserve">ralegals, Deborah E. </w:t>
      </w:r>
      <w:proofErr w:type="spellStart"/>
      <w:r w:rsidR="0043031B">
        <w:rPr>
          <w:rFonts w:cs="Arial"/>
        </w:rPr>
        <w:t>Bouchoux</w:t>
      </w:r>
      <w:proofErr w:type="spellEnd"/>
      <w:r w:rsidR="0043031B">
        <w:rPr>
          <w:rFonts w:cs="Arial"/>
        </w:rPr>
        <w:t xml:space="preserve">, 9th </w:t>
      </w:r>
      <w:r>
        <w:rPr>
          <w:rFonts w:cs="Arial"/>
        </w:rPr>
        <w:t>Edition</w:t>
      </w:r>
    </w:p>
    <w:p w14:paraId="268169A2" w14:textId="77777777" w:rsidR="0008780E" w:rsidRPr="007E28FA" w:rsidRDefault="0043031B" w:rsidP="0008780E">
      <w:pPr>
        <w:rPr>
          <w:rFonts w:cs="Arial"/>
        </w:rPr>
      </w:pPr>
      <w:r>
        <w:rPr>
          <w:rFonts w:cs="Arial"/>
        </w:rPr>
        <w:t>Bluebook, 20th</w:t>
      </w:r>
      <w:r w:rsidR="007E28FA">
        <w:rPr>
          <w:rFonts w:cs="Arial"/>
        </w:rPr>
        <w:t xml:space="preserve"> Edition </w:t>
      </w:r>
    </w:p>
    <w:p w14:paraId="4DBE392D" w14:textId="77777777" w:rsidR="0008780E" w:rsidRDefault="0008780E" w:rsidP="0008780E">
      <w:pPr>
        <w:rPr>
          <w:rFonts w:cs="Arial"/>
          <w:b/>
        </w:rPr>
      </w:pPr>
      <w:r>
        <w:rPr>
          <w:rFonts w:cs="Arial"/>
          <w:b/>
        </w:rPr>
        <w:t>GENERAL INSTRUCTIONAL METHODS</w:t>
      </w:r>
    </w:p>
    <w:p w14:paraId="15A45E93" w14:textId="77777777" w:rsidR="0008780E" w:rsidRPr="00EE20BB" w:rsidRDefault="0008780E" w:rsidP="00EE20BB">
      <w:pPr>
        <w:widowControl w:val="0"/>
        <w:autoSpaceDE w:val="0"/>
        <w:autoSpaceDN w:val="0"/>
        <w:adjustRightInd w:val="0"/>
      </w:pPr>
      <w:r>
        <w:t xml:space="preserve">Instruction will include a combination of lecture, class </w:t>
      </w:r>
      <w:r w:rsidR="00EE20BB">
        <w:t xml:space="preserve">discussions and lab sessions.  </w:t>
      </w:r>
    </w:p>
    <w:p w14:paraId="5DCCDE1B" w14:textId="77777777" w:rsidR="0008780E" w:rsidRDefault="0008780E" w:rsidP="0008780E">
      <w:pPr>
        <w:tabs>
          <w:tab w:val="left" w:pos="5760"/>
        </w:tabs>
        <w:rPr>
          <w:rFonts w:cs="Arial"/>
          <w:b/>
        </w:rPr>
      </w:pPr>
      <w:r>
        <w:rPr>
          <w:rFonts w:cs="Arial"/>
          <w:b/>
        </w:rPr>
        <w:t>ASSESSMENT</w:t>
      </w:r>
    </w:p>
    <w:p w14:paraId="17718E33" w14:textId="77777777" w:rsidR="0008780E" w:rsidRPr="00EE20BB" w:rsidRDefault="0008780E" w:rsidP="0008780E">
      <w:pPr>
        <w:rPr>
          <w:rFonts w:cs="Arial"/>
        </w:rPr>
      </w:pPr>
      <w:r>
        <w:rPr>
          <w:rFonts w:cs="Arial"/>
        </w:rPr>
        <w:lastRenderedPageBreak/>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w:t>
      </w:r>
      <w:r w:rsidR="00EE20BB">
        <w:rPr>
          <w:rFonts w:cs="Arial"/>
        </w:rPr>
        <w:t xml:space="preserve"> broader assessment activities.</w:t>
      </w:r>
    </w:p>
    <w:p w14:paraId="7A68EC94" w14:textId="77777777" w:rsidR="0008780E" w:rsidRDefault="0008780E" w:rsidP="0008780E">
      <w:pPr>
        <w:pStyle w:val="NormalWeb"/>
        <w:spacing w:after="0"/>
        <w:rPr>
          <w:color w:val="444444"/>
          <w:bdr w:val="none" w:sz="0" w:space="0" w:color="auto" w:frame="1"/>
        </w:rPr>
      </w:pPr>
      <w:r>
        <w:rPr>
          <w:color w:val="444444"/>
          <w:bdr w:val="none" w:sz="0" w:space="0" w:color="auto" w:frame="1"/>
        </w:rPr>
        <w:t>All evaluations will be based on the content, as well as the elements of proper composition, grammar, spelling and punctuation. </w:t>
      </w:r>
    </w:p>
    <w:p w14:paraId="2648D07F" w14:textId="77777777" w:rsidR="0008780E" w:rsidRDefault="0008780E" w:rsidP="0008780E">
      <w:pPr>
        <w:pStyle w:val="NormalWeb"/>
        <w:spacing w:after="0"/>
        <w:rPr>
          <w:color w:val="444444"/>
        </w:rPr>
      </w:pPr>
      <w:r>
        <w:rPr>
          <w:color w:val="444444"/>
          <w:bdr w:val="none" w:sz="0" w:space="0" w:color="auto" w:frame="1"/>
        </w:rPr>
        <w:t>Projects will be assessed based</w:t>
      </w:r>
      <w:r w:rsidR="008227A2">
        <w:rPr>
          <w:color w:val="444444"/>
          <w:bdr w:val="none" w:sz="0" w:space="0" w:color="auto" w:frame="1"/>
        </w:rPr>
        <w:t xml:space="preserve"> on timely submission, content, </w:t>
      </w:r>
      <w:r>
        <w:rPr>
          <w:color w:val="444444"/>
          <w:bdr w:val="none" w:sz="0" w:space="0" w:color="auto" w:frame="1"/>
        </w:rPr>
        <w:t>depth of research, effort, accuracy of information, analysis and overall presentation.</w:t>
      </w:r>
    </w:p>
    <w:p w14:paraId="52734CCF" w14:textId="77777777" w:rsidR="0008780E" w:rsidRDefault="0008780E" w:rsidP="0008780E">
      <w:pPr>
        <w:pStyle w:val="NormalWeb"/>
        <w:spacing w:after="0"/>
        <w:rPr>
          <w:color w:val="444444"/>
          <w:bdr w:val="none" w:sz="0" w:space="0" w:color="auto" w:frame="1"/>
        </w:rPr>
      </w:pPr>
      <w:r>
        <w:rPr>
          <w:color w:val="444444"/>
          <w:bdr w:val="none" w:sz="0" w:space="0" w:color="auto" w:frame="1"/>
        </w:rPr>
        <w:t xml:space="preserve"> Examinations will be evaluated on correct responses which demonstrate the student has mastered the principle, theories of the course material.</w:t>
      </w:r>
    </w:p>
    <w:p w14:paraId="2C5695A4" w14:textId="77777777" w:rsidR="0008780E" w:rsidRDefault="0008780E" w:rsidP="0008780E">
      <w:pPr>
        <w:pStyle w:val="NormalWeb"/>
        <w:spacing w:after="0"/>
        <w:rPr>
          <w:color w:val="444444"/>
        </w:rPr>
      </w:pPr>
    </w:p>
    <w:p w14:paraId="10B77266" w14:textId="77777777" w:rsidR="0008780E" w:rsidRDefault="0008780E" w:rsidP="0008780E">
      <w:pPr>
        <w:pStyle w:val="NormalWeb"/>
        <w:spacing w:after="0"/>
        <w:rPr>
          <w:color w:val="444444"/>
          <w:bdr w:val="none" w:sz="0" w:space="0" w:color="auto" w:frame="1"/>
        </w:rPr>
      </w:pPr>
      <w:r>
        <w:rPr>
          <w:color w:val="444444"/>
          <w:bdr w:val="none" w:sz="0" w:space="0" w:color="auto" w:frame="1"/>
        </w:rPr>
        <w:t>Point value(s) for each assessment used during the quarter: </w:t>
      </w:r>
    </w:p>
    <w:p w14:paraId="68AC60E9" w14:textId="77777777" w:rsidR="0008780E" w:rsidRDefault="0008780E" w:rsidP="0008780E">
      <w:pPr>
        <w:pStyle w:val="NormalWeb"/>
        <w:spacing w:after="0"/>
        <w:rPr>
          <w:rFonts w:ascii="inherit" w:hAnsi="inherit" w:cs="Arial"/>
          <w:color w:val="444444"/>
          <w:sz w:val="18"/>
          <w:szCs w:val="18"/>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0"/>
        <w:gridCol w:w="1920"/>
      </w:tblGrid>
      <w:tr w:rsidR="0008780E" w14:paraId="7C61FD0C" w14:textId="77777777" w:rsidTr="0008780E">
        <w:trPr>
          <w:trHeight w:val="516"/>
          <w:jc w:val="center"/>
        </w:trPr>
        <w:tc>
          <w:tcPr>
            <w:tcW w:w="3980" w:type="dxa"/>
            <w:tcBorders>
              <w:top w:val="single" w:sz="24"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14:paraId="380EAAC7" w14:textId="77777777" w:rsidR="0008780E" w:rsidRDefault="0008780E">
            <w:pPr>
              <w:pStyle w:val="NormalWeb"/>
              <w:spacing w:after="0"/>
              <w:rPr>
                <w:rFonts w:ascii="inherit" w:hAnsi="inherit"/>
                <w:sz w:val="18"/>
                <w:szCs w:val="18"/>
              </w:rPr>
            </w:pPr>
            <w:r>
              <w:rPr>
                <w:rStyle w:val="Strong"/>
                <w:rFonts w:ascii="Cambria" w:hAnsi="Cambria"/>
                <w:sz w:val="18"/>
                <w:szCs w:val="18"/>
                <w:bdr w:val="none" w:sz="0" w:space="0" w:color="auto" w:frame="1"/>
              </w:rPr>
              <w:t>Assessment</w:t>
            </w:r>
          </w:p>
        </w:tc>
        <w:tc>
          <w:tcPr>
            <w:tcW w:w="1920" w:type="dxa"/>
            <w:tcBorders>
              <w:top w:val="single" w:sz="24" w:space="0" w:color="000000"/>
              <w:left w:val="outset" w:sz="6" w:space="0" w:color="D4D0C8"/>
              <w:bottom w:val="single" w:sz="8" w:space="0" w:color="000000"/>
              <w:right w:val="single" w:sz="24" w:space="0" w:color="000000"/>
            </w:tcBorders>
            <w:tcMar>
              <w:top w:w="0" w:type="dxa"/>
              <w:left w:w="108" w:type="dxa"/>
              <w:bottom w:w="0" w:type="dxa"/>
              <w:right w:w="108" w:type="dxa"/>
            </w:tcMar>
            <w:hideMark/>
          </w:tcPr>
          <w:p w14:paraId="25BA6FDB" w14:textId="77777777" w:rsidR="0008780E" w:rsidRDefault="0008780E">
            <w:pPr>
              <w:pStyle w:val="NormalWeb"/>
              <w:spacing w:after="0"/>
              <w:rPr>
                <w:rFonts w:ascii="inherit" w:hAnsi="inherit"/>
                <w:sz w:val="18"/>
                <w:szCs w:val="18"/>
              </w:rPr>
            </w:pPr>
            <w:r>
              <w:rPr>
                <w:rStyle w:val="Strong"/>
                <w:rFonts w:ascii="inherit" w:hAnsi="inherit"/>
                <w:sz w:val="18"/>
                <w:szCs w:val="18"/>
                <w:bdr w:val="none" w:sz="0" w:space="0" w:color="auto" w:frame="1"/>
              </w:rPr>
              <w:t>Points</w:t>
            </w:r>
          </w:p>
        </w:tc>
      </w:tr>
      <w:tr w:rsidR="0008780E" w14:paraId="0D8B3FF2" w14:textId="77777777" w:rsidTr="0008780E">
        <w:trPr>
          <w:jc w:val="center"/>
        </w:trPr>
        <w:tc>
          <w:tcPr>
            <w:tcW w:w="3980" w:type="dxa"/>
            <w:tcBorders>
              <w:top w:val="outset" w:sz="6" w:space="0" w:color="D4D0C8"/>
              <w:left w:val="single" w:sz="24" w:space="0" w:color="000000"/>
              <w:bottom w:val="single" w:sz="8" w:space="0" w:color="000000"/>
              <w:right w:val="single" w:sz="8" w:space="0" w:color="000000"/>
            </w:tcBorders>
            <w:tcMar>
              <w:top w:w="0" w:type="dxa"/>
              <w:left w:w="108" w:type="dxa"/>
              <w:bottom w:w="0" w:type="dxa"/>
              <w:right w:w="108" w:type="dxa"/>
            </w:tcMar>
            <w:hideMark/>
          </w:tcPr>
          <w:p w14:paraId="5635A30E" w14:textId="77777777" w:rsidR="0008780E" w:rsidRDefault="0008780E">
            <w:pPr>
              <w:pStyle w:val="NormalWeb"/>
              <w:spacing w:after="0"/>
              <w:rPr>
                <w:rFonts w:ascii="inherit" w:hAnsi="inherit"/>
                <w:sz w:val="18"/>
                <w:szCs w:val="18"/>
              </w:rPr>
            </w:pPr>
            <w:proofErr w:type="gramStart"/>
            <w:r>
              <w:rPr>
                <w:rFonts w:ascii="Cambria" w:hAnsi="Cambria"/>
                <w:sz w:val="18"/>
                <w:szCs w:val="18"/>
                <w:bdr w:val="none" w:sz="0" w:space="0" w:color="auto" w:frame="1"/>
              </w:rPr>
              <w:t>Projects  (</w:t>
            </w:r>
            <w:proofErr w:type="gramEnd"/>
            <w:r>
              <w:rPr>
                <w:rFonts w:ascii="Cambria" w:hAnsi="Cambria"/>
                <w:sz w:val="18"/>
                <w:szCs w:val="18"/>
                <w:bdr w:val="none" w:sz="0" w:space="0" w:color="auto" w:frame="1"/>
              </w:rPr>
              <w:t>2)</w:t>
            </w:r>
          </w:p>
        </w:tc>
        <w:tc>
          <w:tcPr>
            <w:tcW w:w="1920" w:type="dxa"/>
            <w:tcBorders>
              <w:top w:val="outset" w:sz="6" w:space="0" w:color="D4D0C8"/>
              <w:left w:val="outset" w:sz="6" w:space="0" w:color="D4D0C8"/>
              <w:bottom w:val="single" w:sz="8" w:space="0" w:color="000000"/>
              <w:right w:val="single" w:sz="24" w:space="0" w:color="000000"/>
            </w:tcBorders>
            <w:tcMar>
              <w:top w:w="0" w:type="dxa"/>
              <w:left w:w="108" w:type="dxa"/>
              <w:bottom w:w="0" w:type="dxa"/>
              <w:right w:w="108" w:type="dxa"/>
            </w:tcMar>
            <w:hideMark/>
          </w:tcPr>
          <w:p w14:paraId="62BD26ED" w14:textId="77777777" w:rsidR="0008780E" w:rsidRDefault="00600F47">
            <w:pPr>
              <w:pStyle w:val="NormalWeb"/>
              <w:spacing w:after="0"/>
              <w:rPr>
                <w:rFonts w:ascii="inherit" w:hAnsi="inherit"/>
                <w:sz w:val="18"/>
                <w:szCs w:val="18"/>
              </w:rPr>
            </w:pPr>
            <w:r>
              <w:rPr>
                <w:rFonts w:ascii="Cambria" w:hAnsi="Cambria"/>
                <w:sz w:val="18"/>
                <w:szCs w:val="18"/>
                <w:bdr w:val="none" w:sz="0" w:space="0" w:color="auto" w:frame="1"/>
              </w:rPr>
              <w:t>100 (2</w:t>
            </w:r>
            <w:r w:rsidR="0008780E">
              <w:rPr>
                <w:rFonts w:ascii="Cambria" w:hAnsi="Cambria"/>
                <w:sz w:val="18"/>
                <w:szCs w:val="18"/>
                <w:bdr w:val="none" w:sz="0" w:space="0" w:color="auto" w:frame="1"/>
              </w:rPr>
              <w:t>00)</w:t>
            </w:r>
          </w:p>
        </w:tc>
      </w:tr>
      <w:tr w:rsidR="0008780E" w14:paraId="3BA03D6D" w14:textId="77777777" w:rsidTr="0008780E">
        <w:trPr>
          <w:jc w:val="center"/>
        </w:trPr>
        <w:tc>
          <w:tcPr>
            <w:tcW w:w="3980" w:type="dxa"/>
            <w:tcBorders>
              <w:top w:val="outset" w:sz="6" w:space="0" w:color="D4D0C8"/>
              <w:left w:val="single" w:sz="24" w:space="0" w:color="000000"/>
              <w:bottom w:val="single" w:sz="8" w:space="0" w:color="000000"/>
              <w:right w:val="single" w:sz="8" w:space="0" w:color="000000"/>
            </w:tcBorders>
            <w:tcMar>
              <w:top w:w="0" w:type="dxa"/>
              <w:left w:w="108" w:type="dxa"/>
              <w:bottom w:w="0" w:type="dxa"/>
              <w:right w:w="108" w:type="dxa"/>
            </w:tcMar>
            <w:hideMark/>
          </w:tcPr>
          <w:p w14:paraId="3220E555" w14:textId="77777777" w:rsidR="0008780E" w:rsidRDefault="0008780E">
            <w:pPr>
              <w:rPr>
                <w:sz w:val="20"/>
              </w:rPr>
            </w:pPr>
          </w:p>
        </w:tc>
        <w:tc>
          <w:tcPr>
            <w:tcW w:w="1920" w:type="dxa"/>
            <w:tcBorders>
              <w:top w:val="outset" w:sz="6" w:space="0" w:color="D4D0C8"/>
              <w:left w:val="outset" w:sz="6" w:space="0" w:color="D4D0C8"/>
              <w:bottom w:val="single" w:sz="8" w:space="0" w:color="000000"/>
              <w:right w:val="single" w:sz="24" w:space="0" w:color="000000"/>
            </w:tcBorders>
            <w:tcMar>
              <w:top w:w="0" w:type="dxa"/>
              <w:left w:w="108" w:type="dxa"/>
              <w:bottom w:w="0" w:type="dxa"/>
              <w:right w:w="108" w:type="dxa"/>
            </w:tcMar>
            <w:hideMark/>
          </w:tcPr>
          <w:p w14:paraId="330AAD1F" w14:textId="77777777" w:rsidR="0008780E" w:rsidRDefault="0008780E">
            <w:pPr>
              <w:rPr>
                <w:sz w:val="20"/>
              </w:rPr>
            </w:pPr>
          </w:p>
        </w:tc>
      </w:tr>
      <w:tr w:rsidR="0008780E" w14:paraId="0471BBED" w14:textId="77777777" w:rsidTr="0008780E">
        <w:trPr>
          <w:jc w:val="center"/>
        </w:trPr>
        <w:tc>
          <w:tcPr>
            <w:tcW w:w="3980" w:type="dxa"/>
            <w:tcBorders>
              <w:top w:val="outset" w:sz="6" w:space="0" w:color="D4D0C8"/>
              <w:left w:val="single" w:sz="24" w:space="0" w:color="000000"/>
              <w:bottom w:val="single" w:sz="8" w:space="0" w:color="000000"/>
              <w:right w:val="single" w:sz="8" w:space="0" w:color="000000"/>
            </w:tcBorders>
            <w:tcMar>
              <w:top w:w="0" w:type="dxa"/>
              <w:left w:w="108" w:type="dxa"/>
              <w:bottom w:w="0" w:type="dxa"/>
              <w:right w:w="108" w:type="dxa"/>
            </w:tcMar>
            <w:hideMark/>
          </w:tcPr>
          <w:p w14:paraId="0D615D29" w14:textId="77777777" w:rsidR="0008780E" w:rsidRDefault="00600F47">
            <w:pPr>
              <w:pStyle w:val="NormalWeb"/>
              <w:spacing w:after="0"/>
              <w:rPr>
                <w:rFonts w:ascii="inherit" w:hAnsi="inherit"/>
                <w:sz w:val="18"/>
                <w:szCs w:val="18"/>
              </w:rPr>
            </w:pPr>
            <w:proofErr w:type="gramStart"/>
            <w:r>
              <w:rPr>
                <w:rFonts w:ascii="inherit" w:hAnsi="inherit"/>
                <w:sz w:val="18"/>
                <w:szCs w:val="18"/>
              </w:rPr>
              <w:t>Worksheets  (</w:t>
            </w:r>
            <w:proofErr w:type="gramEnd"/>
            <w:r>
              <w:rPr>
                <w:rFonts w:ascii="inherit" w:hAnsi="inherit"/>
                <w:sz w:val="18"/>
                <w:szCs w:val="18"/>
              </w:rPr>
              <w:t>6</w:t>
            </w:r>
            <w:r w:rsidR="0008780E">
              <w:rPr>
                <w:rFonts w:ascii="inherit" w:hAnsi="inherit"/>
                <w:sz w:val="18"/>
                <w:szCs w:val="18"/>
              </w:rPr>
              <w:t>)</w:t>
            </w:r>
          </w:p>
        </w:tc>
        <w:tc>
          <w:tcPr>
            <w:tcW w:w="1920" w:type="dxa"/>
            <w:tcBorders>
              <w:top w:val="outset" w:sz="6" w:space="0" w:color="D4D0C8"/>
              <w:left w:val="outset" w:sz="6" w:space="0" w:color="D4D0C8"/>
              <w:bottom w:val="single" w:sz="8" w:space="0" w:color="000000"/>
              <w:right w:val="single" w:sz="24" w:space="0" w:color="000000"/>
            </w:tcBorders>
            <w:tcMar>
              <w:top w:w="0" w:type="dxa"/>
              <w:left w:w="108" w:type="dxa"/>
              <w:bottom w:w="0" w:type="dxa"/>
              <w:right w:w="108" w:type="dxa"/>
            </w:tcMar>
            <w:hideMark/>
          </w:tcPr>
          <w:p w14:paraId="6B3FAA36" w14:textId="77777777" w:rsidR="0008780E" w:rsidRDefault="00600F47">
            <w:pPr>
              <w:pStyle w:val="NormalWeb"/>
              <w:spacing w:after="0"/>
              <w:rPr>
                <w:rFonts w:ascii="inherit" w:hAnsi="inherit"/>
                <w:sz w:val="18"/>
                <w:szCs w:val="18"/>
              </w:rPr>
            </w:pPr>
            <w:proofErr w:type="gramStart"/>
            <w:r>
              <w:rPr>
                <w:rFonts w:ascii="inherit" w:hAnsi="inherit"/>
                <w:sz w:val="18"/>
                <w:szCs w:val="18"/>
              </w:rPr>
              <w:t>50  (</w:t>
            </w:r>
            <w:proofErr w:type="gramEnd"/>
            <w:r>
              <w:rPr>
                <w:rFonts w:ascii="inherit" w:hAnsi="inherit"/>
                <w:sz w:val="18"/>
                <w:szCs w:val="18"/>
              </w:rPr>
              <w:t>300</w:t>
            </w:r>
            <w:r w:rsidR="0008780E">
              <w:rPr>
                <w:rFonts w:ascii="inherit" w:hAnsi="inherit"/>
                <w:sz w:val="18"/>
                <w:szCs w:val="18"/>
              </w:rPr>
              <w:t>)</w:t>
            </w:r>
          </w:p>
        </w:tc>
      </w:tr>
      <w:tr w:rsidR="0008780E" w14:paraId="1AB78BCD" w14:textId="77777777" w:rsidTr="0008780E">
        <w:trPr>
          <w:jc w:val="center"/>
        </w:trPr>
        <w:tc>
          <w:tcPr>
            <w:tcW w:w="3980" w:type="dxa"/>
            <w:tcBorders>
              <w:top w:val="outset" w:sz="6" w:space="0" w:color="D4D0C8"/>
              <w:left w:val="single" w:sz="24" w:space="0" w:color="000000"/>
              <w:bottom w:val="single" w:sz="8" w:space="0" w:color="000000"/>
              <w:right w:val="single" w:sz="8" w:space="0" w:color="000000"/>
            </w:tcBorders>
            <w:tcMar>
              <w:top w:w="0" w:type="dxa"/>
              <w:left w:w="108" w:type="dxa"/>
              <w:bottom w:w="0" w:type="dxa"/>
              <w:right w:w="108" w:type="dxa"/>
            </w:tcMar>
            <w:hideMark/>
          </w:tcPr>
          <w:p w14:paraId="1A433291" w14:textId="77777777" w:rsidR="0008780E" w:rsidRDefault="0008780E">
            <w:pPr>
              <w:pStyle w:val="NormalWeb"/>
              <w:spacing w:after="0"/>
              <w:rPr>
                <w:rFonts w:ascii="inherit" w:hAnsi="inherit"/>
                <w:sz w:val="18"/>
                <w:szCs w:val="18"/>
              </w:rPr>
            </w:pPr>
            <w:r>
              <w:rPr>
                <w:rFonts w:ascii="inherit" w:hAnsi="inherit"/>
                <w:sz w:val="18"/>
                <w:szCs w:val="18"/>
              </w:rPr>
              <w:t xml:space="preserve">Final </w:t>
            </w:r>
            <w:proofErr w:type="gramStart"/>
            <w:r>
              <w:rPr>
                <w:rFonts w:ascii="inherit" w:hAnsi="inherit"/>
                <w:sz w:val="18"/>
                <w:szCs w:val="18"/>
              </w:rPr>
              <w:t>Project  (</w:t>
            </w:r>
            <w:proofErr w:type="gramEnd"/>
            <w:r>
              <w:rPr>
                <w:rFonts w:ascii="inherit" w:hAnsi="inherit"/>
                <w:sz w:val="18"/>
                <w:szCs w:val="18"/>
              </w:rPr>
              <w:t>1)</w:t>
            </w:r>
          </w:p>
        </w:tc>
        <w:tc>
          <w:tcPr>
            <w:tcW w:w="1920" w:type="dxa"/>
            <w:tcBorders>
              <w:top w:val="outset" w:sz="6" w:space="0" w:color="D4D0C8"/>
              <w:left w:val="outset" w:sz="6" w:space="0" w:color="D4D0C8"/>
              <w:bottom w:val="single" w:sz="8" w:space="0" w:color="000000"/>
              <w:right w:val="single" w:sz="24" w:space="0" w:color="000000"/>
            </w:tcBorders>
            <w:tcMar>
              <w:top w:w="0" w:type="dxa"/>
              <w:left w:w="108" w:type="dxa"/>
              <w:bottom w:w="0" w:type="dxa"/>
              <w:right w:w="108" w:type="dxa"/>
            </w:tcMar>
            <w:hideMark/>
          </w:tcPr>
          <w:p w14:paraId="1EF79262"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100</w:t>
            </w:r>
          </w:p>
        </w:tc>
      </w:tr>
      <w:tr w:rsidR="0008780E" w14:paraId="48AE7020" w14:textId="77777777" w:rsidTr="0008780E">
        <w:trPr>
          <w:jc w:val="center"/>
        </w:trPr>
        <w:tc>
          <w:tcPr>
            <w:tcW w:w="3980" w:type="dxa"/>
            <w:tcBorders>
              <w:top w:val="outset" w:sz="6" w:space="0" w:color="D4D0C8"/>
              <w:left w:val="single" w:sz="24" w:space="0" w:color="000000"/>
              <w:bottom w:val="single" w:sz="8" w:space="0" w:color="000000"/>
              <w:right w:val="single" w:sz="8" w:space="0" w:color="000000"/>
            </w:tcBorders>
            <w:tcMar>
              <w:top w:w="0" w:type="dxa"/>
              <w:left w:w="108" w:type="dxa"/>
              <w:bottom w:w="0" w:type="dxa"/>
              <w:right w:w="108" w:type="dxa"/>
            </w:tcMar>
            <w:hideMark/>
          </w:tcPr>
          <w:p w14:paraId="0E7AF4EB" w14:textId="77777777" w:rsidR="0008780E" w:rsidRDefault="0008780E">
            <w:pPr>
              <w:rPr>
                <w:sz w:val="20"/>
              </w:rPr>
            </w:pPr>
          </w:p>
        </w:tc>
        <w:tc>
          <w:tcPr>
            <w:tcW w:w="1920" w:type="dxa"/>
            <w:tcBorders>
              <w:top w:val="outset" w:sz="6" w:space="0" w:color="D4D0C8"/>
              <w:left w:val="outset" w:sz="6" w:space="0" w:color="D4D0C8"/>
              <w:bottom w:val="single" w:sz="8" w:space="0" w:color="000000"/>
              <w:right w:val="single" w:sz="24" w:space="0" w:color="000000"/>
            </w:tcBorders>
            <w:tcMar>
              <w:top w:w="0" w:type="dxa"/>
              <w:left w:w="108" w:type="dxa"/>
              <w:bottom w:w="0" w:type="dxa"/>
              <w:right w:w="108" w:type="dxa"/>
            </w:tcMar>
            <w:hideMark/>
          </w:tcPr>
          <w:p w14:paraId="1E128CC0" w14:textId="77777777" w:rsidR="0008780E" w:rsidRDefault="0008780E">
            <w:pPr>
              <w:rPr>
                <w:sz w:val="20"/>
              </w:rPr>
            </w:pPr>
          </w:p>
        </w:tc>
      </w:tr>
      <w:tr w:rsidR="0008780E" w14:paraId="5C2E26FB" w14:textId="77777777" w:rsidTr="0008780E">
        <w:trPr>
          <w:trHeight w:val="277"/>
          <w:jc w:val="center"/>
        </w:trPr>
        <w:tc>
          <w:tcPr>
            <w:tcW w:w="3980" w:type="dxa"/>
            <w:tcBorders>
              <w:top w:val="outset" w:sz="6" w:space="0" w:color="D4D0C8"/>
              <w:left w:val="single" w:sz="24" w:space="0" w:color="000000"/>
              <w:bottom w:val="single" w:sz="24" w:space="0" w:color="000000"/>
              <w:right w:val="single" w:sz="8" w:space="0" w:color="000000"/>
            </w:tcBorders>
            <w:tcMar>
              <w:top w:w="0" w:type="dxa"/>
              <w:left w:w="108" w:type="dxa"/>
              <w:bottom w:w="0" w:type="dxa"/>
              <w:right w:w="108" w:type="dxa"/>
            </w:tcMar>
            <w:hideMark/>
          </w:tcPr>
          <w:p w14:paraId="67105550"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Total Points</w:t>
            </w:r>
          </w:p>
          <w:p w14:paraId="78A5C828"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 </w:t>
            </w:r>
          </w:p>
        </w:tc>
        <w:tc>
          <w:tcPr>
            <w:tcW w:w="1920" w:type="dxa"/>
            <w:tcBorders>
              <w:top w:val="outset" w:sz="6" w:space="0" w:color="D4D0C8"/>
              <w:left w:val="outset" w:sz="6" w:space="0" w:color="D4D0C8"/>
              <w:bottom w:val="single" w:sz="24" w:space="0" w:color="000000"/>
              <w:right w:val="single" w:sz="24" w:space="0" w:color="000000"/>
            </w:tcBorders>
            <w:tcMar>
              <w:top w:w="0" w:type="dxa"/>
              <w:left w:w="108" w:type="dxa"/>
              <w:bottom w:w="0" w:type="dxa"/>
              <w:right w:w="108" w:type="dxa"/>
            </w:tcMar>
            <w:hideMark/>
          </w:tcPr>
          <w:p w14:paraId="0AFCAE88" w14:textId="77777777" w:rsidR="0008780E" w:rsidRDefault="00600F47">
            <w:pPr>
              <w:pStyle w:val="NormalWeb"/>
              <w:spacing w:after="0"/>
              <w:rPr>
                <w:rFonts w:ascii="inherit" w:hAnsi="inherit"/>
                <w:sz w:val="18"/>
                <w:szCs w:val="18"/>
              </w:rPr>
            </w:pPr>
            <w:r>
              <w:rPr>
                <w:rFonts w:ascii="Cambria" w:hAnsi="Cambria"/>
                <w:sz w:val="18"/>
                <w:szCs w:val="18"/>
                <w:bdr w:val="none" w:sz="0" w:space="0" w:color="auto" w:frame="1"/>
              </w:rPr>
              <w:t>600</w:t>
            </w:r>
          </w:p>
          <w:p w14:paraId="1AC03E99"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 </w:t>
            </w:r>
          </w:p>
        </w:tc>
      </w:tr>
    </w:tbl>
    <w:p w14:paraId="719A5C3F" w14:textId="77777777" w:rsidR="0008780E" w:rsidRDefault="0008780E" w:rsidP="0008780E">
      <w:pPr>
        <w:pStyle w:val="NormalWeb"/>
        <w:spacing w:after="0"/>
        <w:rPr>
          <w:color w:val="444444"/>
          <w:sz w:val="24"/>
          <w:szCs w:val="24"/>
          <w:bdr w:val="none" w:sz="0" w:space="0" w:color="auto" w:frame="1"/>
        </w:rPr>
      </w:pPr>
    </w:p>
    <w:p w14:paraId="49D1E0C3" w14:textId="77777777" w:rsidR="0008780E" w:rsidRPr="00EE20BB" w:rsidRDefault="0008780E" w:rsidP="00EE20BB">
      <w:pPr>
        <w:pStyle w:val="NormalWeb"/>
        <w:spacing w:after="0"/>
        <w:rPr>
          <w:color w:val="444444"/>
        </w:rPr>
      </w:pPr>
      <w:r>
        <w:rPr>
          <w:color w:val="444444"/>
          <w:bdr w:val="none" w:sz="0" w:space="0" w:color="auto" w:frame="1"/>
        </w:rPr>
        <w:t>Student grades for individual assignments are entered into the Blackboard grade book. Students are advised to check their grades on individual assessments on a regular basis throughout the quarter.</w:t>
      </w:r>
    </w:p>
    <w:p w14:paraId="13A866B2" w14:textId="77777777" w:rsidR="0008780E" w:rsidRDefault="0008780E" w:rsidP="0008780E">
      <w:pPr>
        <w:rPr>
          <w:rFonts w:cs="Arial"/>
          <w:b/>
        </w:rPr>
      </w:pPr>
      <w:r>
        <w:rPr>
          <w:rFonts w:cs="Arial"/>
          <w:b/>
        </w:rPr>
        <w:t>GRADING SCALE</w:t>
      </w:r>
    </w:p>
    <w:p w14:paraId="3E786393" w14:textId="77777777" w:rsidR="0008780E" w:rsidRDefault="0008780E" w:rsidP="0008780E">
      <w:pPr>
        <w:pStyle w:val="NormalWeb"/>
        <w:spacing w:after="0"/>
        <w:rPr>
          <w:color w:val="444444"/>
          <w:bdr w:val="none" w:sz="0" w:space="0" w:color="auto" w:frame="1"/>
        </w:rPr>
      </w:pPr>
      <w:r>
        <w:rPr>
          <w:color w:val="444444"/>
          <w:bdr w:val="none" w:sz="0" w:space="0" w:color="auto" w:frame="1"/>
        </w:rPr>
        <w:t>Final grades will be determined based on the following scale:</w:t>
      </w:r>
    </w:p>
    <w:p w14:paraId="2B90DEFD" w14:textId="77777777" w:rsidR="0008780E" w:rsidRDefault="0008780E" w:rsidP="0008780E">
      <w:pPr>
        <w:pStyle w:val="NormalWeb"/>
        <w:spacing w:after="0"/>
        <w:rPr>
          <w:color w:val="44444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2160"/>
        <w:gridCol w:w="1320"/>
      </w:tblGrid>
      <w:tr w:rsidR="0008780E" w14:paraId="43E46265" w14:textId="77777777" w:rsidTr="0008780E">
        <w:trPr>
          <w:jc w:val="center"/>
        </w:trPr>
        <w:tc>
          <w:tcPr>
            <w:tcW w:w="2760" w:type="dxa"/>
            <w:tcBorders>
              <w:top w:val="single" w:sz="24"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14:paraId="6FC7488E" w14:textId="77777777" w:rsidR="0008780E" w:rsidRDefault="0008780E">
            <w:pPr>
              <w:pStyle w:val="NormalWeb"/>
              <w:spacing w:after="0"/>
              <w:rPr>
                <w:rFonts w:ascii="inherit" w:hAnsi="inherit"/>
                <w:sz w:val="18"/>
                <w:szCs w:val="18"/>
              </w:rPr>
            </w:pPr>
            <w:r>
              <w:rPr>
                <w:rStyle w:val="Strong"/>
                <w:rFonts w:ascii="inherit" w:hAnsi="inherit"/>
                <w:sz w:val="18"/>
                <w:szCs w:val="18"/>
                <w:bdr w:val="none" w:sz="0" w:space="0" w:color="auto" w:frame="1"/>
              </w:rPr>
              <w:t>Points</w:t>
            </w:r>
          </w:p>
        </w:tc>
        <w:tc>
          <w:tcPr>
            <w:tcW w:w="2160" w:type="dxa"/>
            <w:tcBorders>
              <w:top w:val="single" w:sz="24" w:space="0" w:color="000000"/>
              <w:left w:val="outset" w:sz="6" w:space="0" w:color="D4D0C8"/>
              <w:bottom w:val="single" w:sz="8" w:space="0" w:color="000000"/>
              <w:right w:val="single" w:sz="8" w:space="0" w:color="000000"/>
            </w:tcBorders>
            <w:tcMar>
              <w:top w:w="0" w:type="dxa"/>
              <w:left w:w="108" w:type="dxa"/>
              <w:bottom w:w="0" w:type="dxa"/>
              <w:right w:w="108" w:type="dxa"/>
            </w:tcMar>
            <w:hideMark/>
          </w:tcPr>
          <w:p w14:paraId="4B3755B6" w14:textId="77777777" w:rsidR="0008780E" w:rsidRDefault="0008780E">
            <w:pPr>
              <w:pStyle w:val="NormalWeb"/>
              <w:spacing w:after="0"/>
              <w:rPr>
                <w:rFonts w:ascii="inherit" w:hAnsi="inherit"/>
                <w:sz w:val="18"/>
                <w:szCs w:val="18"/>
              </w:rPr>
            </w:pPr>
            <w:r>
              <w:rPr>
                <w:rStyle w:val="Strong"/>
                <w:rFonts w:ascii="inherit" w:hAnsi="inherit"/>
                <w:sz w:val="18"/>
                <w:szCs w:val="18"/>
                <w:bdr w:val="none" w:sz="0" w:space="0" w:color="auto" w:frame="1"/>
              </w:rPr>
              <w:t>Percentage</w:t>
            </w:r>
          </w:p>
        </w:tc>
        <w:tc>
          <w:tcPr>
            <w:tcW w:w="1320" w:type="dxa"/>
            <w:tcBorders>
              <w:top w:val="single" w:sz="24" w:space="0" w:color="000000"/>
              <w:left w:val="outset" w:sz="6" w:space="0" w:color="D4D0C8"/>
              <w:bottom w:val="single" w:sz="8" w:space="0" w:color="000000"/>
              <w:right w:val="single" w:sz="24" w:space="0" w:color="000000"/>
            </w:tcBorders>
            <w:tcMar>
              <w:top w:w="0" w:type="dxa"/>
              <w:left w:w="108" w:type="dxa"/>
              <w:bottom w:w="0" w:type="dxa"/>
              <w:right w:w="108" w:type="dxa"/>
            </w:tcMar>
            <w:hideMark/>
          </w:tcPr>
          <w:p w14:paraId="24E01723" w14:textId="77777777" w:rsidR="0008780E" w:rsidRDefault="0008780E">
            <w:pPr>
              <w:pStyle w:val="NormalWeb"/>
              <w:spacing w:after="0"/>
              <w:rPr>
                <w:rFonts w:ascii="inherit" w:hAnsi="inherit"/>
                <w:sz w:val="18"/>
                <w:szCs w:val="18"/>
              </w:rPr>
            </w:pPr>
            <w:r>
              <w:rPr>
                <w:rStyle w:val="Strong"/>
                <w:rFonts w:ascii="inherit" w:hAnsi="inherit"/>
                <w:sz w:val="18"/>
                <w:szCs w:val="18"/>
                <w:bdr w:val="none" w:sz="0" w:space="0" w:color="auto" w:frame="1"/>
              </w:rPr>
              <w:t>Grade</w:t>
            </w:r>
          </w:p>
        </w:tc>
      </w:tr>
      <w:tr w:rsidR="0008780E" w14:paraId="13342021" w14:textId="77777777" w:rsidTr="0008780E">
        <w:trPr>
          <w:jc w:val="center"/>
        </w:trPr>
        <w:tc>
          <w:tcPr>
            <w:tcW w:w="2760" w:type="dxa"/>
            <w:tcBorders>
              <w:top w:val="outset" w:sz="6" w:space="0" w:color="D4D0C8"/>
              <w:left w:val="single" w:sz="24" w:space="0" w:color="000000"/>
              <w:bottom w:val="single" w:sz="8" w:space="0" w:color="000000"/>
              <w:right w:val="single" w:sz="8" w:space="0" w:color="000000"/>
            </w:tcBorders>
            <w:tcMar>
              <w:top w:w="0" w:type="dxa"/>
              <w:left w:w="108" w:type="dxa"/>
              <w:bottom w:w="0" w:type="dxa"/>
              <w:right w:w="108" w:type="dxa"/>
            </w:tcMar>
            <w:hideMark/>
          </w:tcPr>
          <w:p w14:paraId="2B9F9DE0"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100-90 points</w:t>
            </w:r>
          </w:p>
        </w:tc>
        <w:tc>
          <w:tcPr>
            <w:tcW w:w="2160" w:type="dxa"/>
            <w:tcBorders>
              <w:top w:val="outset" w:sz="6" w:space="0" w:color="D4D0C8"/>
              <w:left w:val="outset" w:sz="6" w:space="0" w:color="D4D0C8"/>
              <w:bottom w:val="single" w:sz="8" w:space="0" w:color="000000"/>
              <w:right w:val="single" w:sz="8" w:space="0" w:color="000000"/>
            </w:tcBorders>
            <w:tcMar>
              <w:top w:w="0" w:type="dxa"/>
              <w:left w:w="108" w:type="dxa"/>
              <w:bottom w:w="0" w:type="dxa"/>
              <w:right w:w="108" w:type="dxa"/>
            </w:tcMar>
            <w:hideMark/>
          </w:tcPr>
          <w:p w14:paraId="25786468"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90-100%</w:t>
            </w:r>
          </w:p>
        </w:tc>
        <w:tc>
          <w:tcPr>
            <w:tcW w:w="1320" w:type="dxa"/>
            <w:tcBorders>
              <w:top w:val="outset" w:sz="6" w:space="0" w:color="D4D0C8"/>
              <w:left w:val="outset" w:sz="6" w:space="0" w:color="D4D0C8"/>
              <w:bottom w:val="single" w:sz="8" w:space="0" w:color="000000"/>
              <w:right w:val="single" w:sz="24" w:space="0" w:color="000000"/>
            </w:tcBorders>
            <w:tcMar>
              <w:top w:w="0" w:type="dxa"/>
              <w:left w:w="108" w:type="dxa"/>
              <w:bottom w:w="0" w:type="dxa"/>
              <w:right w:w="108" w:type="dxa"/>
            </w:tcMar>
            <w:hideMark/>
          </w:tcPr>
          <w:p w14:paraId="16B0AEF1"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A</w:t>
            </w:r>
          </w:p>
        </w:tc>
      </w:tr>
      <w:tr w:rsidR="0008780E" w14:paraId="757BB107" w14:textId="77777777" w:rsidTr="0008780E">
        <w:trPr>
          <w:jc w:val="center"/>
        </w:trPr>
        <w:tc>
          <w:tcPr>
            <w:tcW w:w="2760" w:type="dxa"/>
            <w:tcBorders>
              <w:top w:val="outset" w:sz="6" w:space="0" w:color="D4D0C8"/>
              <w:left w:val="single" w:sz="24" w:space="0" w:color="000000"/>
              <w:bottom w:val="single" w:sz="8" w:space="0" w:color="000000"/>
              <w:right w:val="single" w:sz="8" w:space="0" w:color="000000"/>
            </w:tcBorders>
            <w:tcMar>
              <w:top w:w="0" w:type="dxa"/>
              <w:left w:w="108" w:type="dxa"/>
              <w:bottom w:w="0" w:type="dxa"/>
              <w:right w:w="108" w:type="dxa"/>
            </w:tcMar>
            <w:hideMark/>
          </w:tcPr>
          <w:p w14:paraId="51C15DE4"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89-80 points</w:t>
            </w:r>
          </w:p>
        </w:tc>
        <w:tc>
          <w:tcPr>
            <w:tcW w:w="2160" w:type="dxa"/>
            <w:tcBorders>
              <w:top w:val="outset" w:sz="6" w:space="0" w:color="D4D0C8"/>
              <w:left w:val="outset" w:sz="6" w:space="0" w:color="D4D0C8"/>
              <w:bottom w:val="single" w:sz="8" w:space="0" w:color="000000"/>
              <w:right w:val="single" w:sz="8" w:space="0" w:color="000000"/>
            </w:tcBorders>
            <w:tcMar>
              <w:top w:w="0" w:type="dxa"/>
              <w:left w:w="108" w:type="dxa"/>
              <w:bottom w:w="0" w:type="dxa"/>
              <w:right w:w="108" w:type="dxa"/>
            </w:tcMar>
            <w:hideMark/>
          </w:tcPr>
          <w:p w14:paraId="023BCDBF"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80-89%</w:t>
            </w:r>
          </w:p>
        </w:tc>
        <w:tc>
          <w:tcPr>
            <w:tcW w:w="1320" w:type="dxa"/>
            <w:tcBorders>
              <w:top w:val="outset" w:sz="6" w:space="0" w:color="D4D0C8"/>
              <w:left w:val="outset" w:sz="6" w:space="0" w:color="D4D0C8"/>
              <w:bottom w:val="single" w:sz="8" w:space="0" w:color="000000"/>
              <w:right w:val="single" w:sz="24" w:space="0" w:color="000000"/>
            </w:tcBorders>
            <w:tcMar>
              <w:top w:w="0" w:type="dxa"/>
              <w:left w:w="108" w:type="dxa"/>
              <w:bottom w:w="0" w:type="dxa"/>
              <w:right w:w="108" w:type="dxa"/>
            </w:tcMar>
            <w:hideMark/>
          </w:tcPr>
          <w:p w14:paraId="4B50CAAA"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B</w:t>
            </w:r>
          </w:p>
        </w:tc>
      </w:tr>
      <w:tr w:rsidR="0008780E" w14:paraId="0834FC5A" w14:textId="77777777" w:rsidTr="0008780E">
        <w:trPr>
          <w:jc w:val="center"/>
        </w:trPr>
        <w:tc>
          <w:tcPr>
            <w:tcW w:w="2760" w:type="dxa"/>
            <w:tcBorders>
              <w:top w:val="outset" w:sz="6" w:space="0" w:color="D4D0C8"/>
              <w:left w:val="single" w:sz="24" w:space="0" w:color="000000"/>
              <w:bottom w:val="single" w:sz="8" w:space="0" w:color="000000"/>
              <w:right w:val="single" w:sz="8" w:space="0" w:color="000000"/>
            </w:tcBorders>
            <w:tcMar>
              <w:top w:w="0" w:type="dxa"/>
              <w:left w:w="108" w:type="dxa"/>
              <w:bottom w:w="0" w:type="dxa"/>
              <w:right w:w="108" w:type="dxa"/>
            </w:tcMar>
            <w:hideMark/>
          </w:tcPr>
          <w:p w14:paraId="25433F26"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79-70 points</w:t>
            </w:r>
          </w:p>
        </w:tc>
        <w:tc>
          <w:tcPr>
            <w:tcW w:w="2160" w:type="dxa"/>
            <w:tcBorders>
              <w:top w:val="outset" w:sz="6" w:space="0" w:color="D4D0C8"/>
              <w:left w:val="outset" w:sz="6" w:space="0" w:color="D4D0C8"/>
              <w:bottom w:val="single" w:sz="8" w:space="0" w:color="000000"/>
              <w:right w:val="single" w:sz="8" w:space="0" w:color="000000"/>
            </w:tcBorders>
            <w:tcMar>
              <w:top w:w="0" w:type="dxa"/>
              <w:left w:w="108" w:type="dxa"/>
              <w:bottom w:w="0" w:type="dxa"/>
              <w:right w:w="108" w:type="dxa"/>
            </w:tcMar>
            <w:hideMark/>
          </w:tcPr>
          <w:p w14:paraId="1FDA53F9"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70-79%</w:t>
            </w:r>
          </w:p>
        </w:tc>
        <w:tc>
          <w:tcPr>
            <w:tcW w:w="1320" w:type="dxa"/>
            <w:tcBorders>
              <w:top w:val="outset" w:sz="6" w:space="0" w:color="D4D0C8"/>
              <w:left w:val="outset" w:sz="6" w:space="0" w:color="D4D0C8"/>
              <w:bottom w:val="single" w:sz="8" w:space="0" w:color="000000"/>
              <w:right w:val="single" w:sz="24" w:space="0" w:color="000000"/>
            </w:tcBorders>
            <w:tcMar>
              <w:top w:w="0" w:type="dxa"/>
              <w:left w:w="108" w:type="dxa"/>
              <w:bottom w:w="0" w:type="dxa"/>
              <w:right w:w="108" w:type="dxa"/>
            </w:tcMar>
            <w:hideMark/>
          </w:tcPr>
          <w:p w14:paraId="15D42FA8"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C</w:t>
            </w:r>
          </w:p>
        </w:tc>
      </w:tr>
      <w:tr w:rsidR="0008780E" w14:paraId="10EE8F52" w14:textId="77777777" w:rsidTr="0008780E">
        <w:trPr>
          <w:jc w:val="center"/>
        </w:trPr>
        <w:tc>
          <w:tcPr>
            <w:tcW w:w="2760" w:type="dxa"/>
            <w:tcBorders>
              <w:top w:val="outset" w:sz="6" w:space="0" w:color="D4D0C8"/>
              <w:left w:val="single" w:sz="24" w:space="0" w:color="000000"/>
              <w:bottom w:val="single" w:sz="8" w:space="0" w:color="000000"/>
              <w:right w:val="single" w:sz="8" w:space="0" w:color="000000"/>
            </w:tcBorders>
            <w:tcMar>
              <w:top w:w="0" w:type="dxa"/>
              <w:left w:w="108" w:type="dxa"/>
              <w:bottom w:w="0" w:type="dxa"/>
              <w:right w:w="108" w:type="dxa"/>
            </w:tcMar>
            <w:hideMark/>
          </w:tcPr>
          <w:p w14:paraId="73C1C4A3"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69-60 points</w:t>
            </w:r>
          </w:p>
        </w:tc>
        <w:tc>
          <w:tcPr>
            <w:tcW w:w="2160" w:type="dxa"/>
            <w:tcBorders>
              <w:top w:val="outset" w:sz="6" w:space="0" w:color="D4D0C8"/>
              <w:left w:val="outset" w:sz="6" w:space="0" w:color="D4D0C8"/>
              <w:bottom w:val="single" w:sz="8" w:space="0" w:color="000000"/>
              <w:right w:val="single" w:sz="8" w:space="0" w:color="000000"/>
            </w:tcBorders>
            <w:tcMar>
              <w:top w:w="0" w:type="dxa"/>
              <w:left w:w="108" w:type="dxa"/>
              <w:bottom w:w="0" w:type="dxa"/>
              <w:right w:w="108" w:type="dxa"/>
            </w:tcMar>
            <w:hideMark/>
          </w:tcPr>
          <w:p w14:paraId="6BA1870A"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60-69%</w:t>
            </w:r>
          </w:p>
        </w:tc>
        <w:tc>
          <w:tcPr>
            <w:tcW w:w="1320" w:type="dxa"/>
            <w:tcBorders>
              <w:top w:val="outset" w:sz="6" w:space="0" w:color="D4D0C8"/>
              <w:left w:val="outset" w:sz="6" w:space="0" w:color="D4D0C8"/>
              <w:bottom w:val="single" w:sz="8" w:space="0" w:color="000000"/>
              <w:right w:val="single" w:sz="24" w:space="0" w:color="000000"/>
            </w:tcBorders>
            <w:tcMar>
              <w:top w:w="0" w:type="dxa"/>
              <w:left w:w="108" w:type="dxa"/>
              <w:bottom w:w="0" w:type="dxa"/>
              <w:right w:w="108" w:type="dxa"/>
            </w:tcMar>
            <w:hideMark/>
          </w:tcPr>
          <w:p w14:paraId="2EC68524"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D</w:t>
            </w:r>
          </w:p>
        </w:tc>
      </w:tr>
      <w:tr w:rsidR="0008780E" w14:paraId="34D89F9A" w14:textId="77777777" w:rsidTr="0008780E">
        <w:trPr>
          <w:jc w:val="center"/>
        </w:trPr>
        <w:tc>
          <w:tcPr>
            <w:tcW w:w="2760" w:type="dxa"/>
            <w:tcBorders>
              <w:top w:val="outset" w:sz="6" w:space="0" w:color="D4D0C8"/>
              <w:left w:val="single" w:sz="24" w:space="0" w:color="000000"/>
              <w:bottom w:val="single" w:sz="24" w:space="0" w:color="000000"/>
              <w:right w:val="single" w:sz="8" w:space="0" w:color="000000"/>
            </w:tcBorders>
            <w:tcMar>
              <w:top w:w="0" w:type="dxa"/>
              <w:left w:w="108" w:type="dxa"/>
              <w:bottom w:w="0" w:type="dxa"/>
              <w:right w:w="108" w:type="dxa"/>
            </w:tcMar>
            <w:hideMark/>
          </w:tcPr>
          <w:p w14:paraId="2AFCFD14"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under 60 points</w:t>
            </w:r>
          </w:p>
        </w:tc>
        <w:tc>
          <w:tcPr>
            <w:tcW w:w="2160" w:type="dxa"/>
            <w:tcBorders>
              <w:top w:val="outset" w:sz="6" w:space="0" w:color="D4D0C8"/>
              <w:left w:val="outset" w:sz="6" w:space="0" w:color="D4D0C8"/>
              <w:bottom w:val="single" w:sz="24" w:space="0" w:color="000000"/>
              <w:right w:val="single" w:sz="8" w:space="0" w:color="000000"/>
            </w:tcBorders>
            <w:tcMar>
              <w:top w:w="0" w:type="dxa"/>
              <w:left w:w="108" w:type="dxa"/>
              <w:bottom w:w="0" w:type="dxa"/>
              <w:right w:w="108" w:type="dxa"/>
            </w:tcMar>
            <w:hideMark/>
          </w:tcPr>
          <w:p w14:paraId="4685BC43"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0-59%</w:t>
            </w:r>
          </w:p>
        </w:tc>
        <w:tc>
          <w:tcPr>
            <w:tcW w:w="1320" w:type="dxa"/>
            <w:tcBorders>
              <w:top w:val="outset" w:sz="6" w:space="0" w:color="D4D0C8"/>
              <w:left w:val="outset" w:sz="6" w:space="0" w:color="D4D0C8"/>
              <w:bottom w:val="single" w:sz="24" w:space="0" w:color="000000"/>
              <w:right w:val="single" w:sz="24" w:space="0" w:color="000000"/>
            </w:tcBorders>
            <w:tcMar>
              <w:top w:w="0" w:type="dxa"/>
              <w:left w:w="108" w:type="dxa"/>
              <w:bottom w:w="0" w:type="dxa"/>
              <w:right w:w="108" w:type="dxa"/>
            </w:tcMar>
            <w:hideMark/>
          </w:tcPr>
          <w:p w14:paraId="13942192" w14:textId="77777777" w:rsidR="0008780E" w:rsidRDefault="0008780E">
            <w:pPr>
              <w:pStyle w:val="NormalWeb"/>
              <w:spacing w:after="0"/>
              <w:rPr>
                <w:rFonts w:ascii="inherit" w:hAnsi="inherit"/>
                <w:sz w:val="18"/>
                <w:szCs w:val="18"/>
              </w:rPr>
            </w:pPr>
            <w:r>
              <w:rPr>
                <w:rFonts w:ascii="Cambria" w:hAnsi="Cambria"/>
                <w:sz w:val="18"/>
                <w:szCs w:val="18"/>
                <w:bdr w:val="none" w:sz="0" w:space="0" w:color="auto" w:frame="1"/>
              </w:rPr>
              <w:t>E</w:t>
            </w:r>
          </w:p>
        </w:tc>
      </w:tr>
    </w:tbl>
    <w:p w14:paraId="756FAE4F" w14:textId="77777777" w:rsidR="0008780E" w:rsidRDefault="0008780E" w:rsidP="0008780E">
      <w:pPr>
        <w:pStyle w:val="NormalWeb"/>
        <w:spacing w:after="0"/>
        <w:ind w:hanging="180"/>
        <w:rPr>
          <w:rFonts w:ascii="inherit" w:hAnsi="inherit" w:cs="Arial"/>
          <w:color w:val="444444"/>
          <w:sz w:val="18"/>
          <w:szCs w:val="18"/>
        </w:rPr>
      </w:pPr>
      <w:r>
        <w:rPr>
          <w:rFonts w:ascii="Cambria" w:hAnsi="Cambria" w:cs="Arial"/>
          <w:caps/>
          <w:color w:val="444444"/>
          <w:sz w:val="18"/>
          <w:szCs w:val="18"/>
          <w:bdr w:val="none" w:sz="0" w:space="0" w:color="auto" w:frame="1"/>
        </w:rPr>
        <w:t xml:space="preserve"> </w:t>
      </w:r>
    </w:p>
    <w:p w14:paraId="587F04F5" w14:textId="77777777" w:rsidR="0008780E" w:rsidRDefault="0008780E" w:rsidP="0008780E">
      <w:pPr>
        <w:rPr>
          <w:rFonts w:cs="Arial"/>
          <w:b/>
        </w:rPr>
      </w:pPr>
    </w:p>
    <w:p w14:paraId="1BEE1960" w14:textId="77777777" w:rsidR="0008780E" w:rsidRDefault="0008780E" w:rsidP="0008780E">
      <w:pPr>
        <w:rPr>
          <w:rFonts w:cs="Arial"/>
          <w:b/>
        </w:rPr>
      </w:pPr>
      <w:r>
        <w:rPr>
          <w:rFonts w:cs="Arial"/>
          <w:b/>
        </w:rPr>
        <w:t>ATTENDANCE POLICY</w:t>
      </w:r>
    </w:p>
    <w:p w14:paraId="185040B5" w14:textId="77777777" w:rsidR="0008780E" w:rsidRPr="0008780E" w:rsidRDefault="0008780E" w:rsidP="0008780E">
      <w:pPr>
        <w:widowControl w:val="0"/>
        <w:autoSpaceDE w:val="0"/>
        <w:autoSpaceDN w:val="0"/>
        <w:adjustRightInd w:val="0"/>
      </w:pPr>
      <w:r>
        <w:t xml:space="preserve">It is recommended that students attend all classes. If it is noted that a student has excessive absenteeism, they will be notified by email and will have a conference with the professor to discuss and </w:t>
      </w:r>
      <w:r>
        <w:lastRenderedPageBreak/>
        <w:t xml:space="preserve">analyze the problem </w:t>
      </w:r>
      <w:proofErr w:type="gramStart"/>
      <w:r>
        <w:t>in order to</w:t>
      </w:r>
      <w:proofErr w:type="gramEnd"/>
      <w:r>
        <w:t xml:space="preserve"> find a solution. Note that students receiving student aid must have attendance reported.  </w:t>
      </w:r>
      <w:r w:rsidR="00E91643">
        <w:rPr>
          <w:u w:val="single"/>
        </w:rPr>
        <w:t xml:space="preserve">Poor </w:t>
      </w:r>
      <w:r>
        <w:rPr>
          <w:u w:val="single"/>
        </w:rPr>
        <w:t xml:space="preserve">attendance typically means a </w:t>
      </w:r>
      <w:proofErr w:type="gramStart"/>
      <w:r>
        <w:rPr>
          <w:u w:val="single"/>
        </w:rPr>
        <w:t>lower  grade</w:t>
      </w:r>
      <w:proofErr w:type="gramEnd"/>
      <w:r>
        <w:rPr>
          <w:u w:val="single"/>
        </w:rPr>
        <w:t>.</w:t>
      </w:r>
    </w:p>
    <w:p w14:paraId="59CF2882" w14:textId="77777777" w:rsidR="0008780E" w:rsidRPr="007A7D65" w:rsidRDefault="0008780E" w:rsidP="0008780E">
      <w:pPr>
        <w:rPr>
          <w:b/>
          <w:color w:val="A20000"/>
        </w:rPr>
      </w:pPr>
      <w:r w:rsidRPr="007A7D65">
        <w:rPr>
          <w:color w:val="A20000"/>
        </w:rPr>
        <w:t>The Columbus State Community College required College Syllabus Statements on College Policies and Student Support Services can b</w:t>
      </w:r>
      <w:r w:rsidR="00366401" w:rsidRPr="007A7D65">
        <w:rPr>
          <w:color w:val="A20000"/>
        </w:rPr>
        <w:t xml:space="preserve">e found at </w:t>
      </w:r>
      <w:hyperlink r:id="rId13" w:history="1">
        <w:r w:rsidR="00366401" w:rsidRPr="007A7D65">
          <w:rPr>
            <w:rStyle w:val="Hyperlink"/>
            <w:color w:val="A20000"/>
            <w:lang w:val="en-US"/>
          </w:rPr>
          <w:t>www.cscc.edu</w:t>
        </w:r>
      </w:hyperlink>
      <w:r w:rsidR="00366401" w:rsidRPr="007A7D65">
        <w:rPr>
          <w:color w:val="A20000"/>
        </w:rPr>
        <w:t>, Student Tab, Academic Tools, Syllabus Statement,</w:t>
      </w:r>
      <w:r w:rsidRPr="007A7D65">
        <w:rPr>
          <w:color w:val="A20000"/>
        </w:rPr>
        <w:t xml:space="preserve"> or on the College website Quick Links “Syllabus Statements”.</w:t>
      </w:r>
    </w:p>
    <w:p w14:paraId="7B51EB60" w14:textId="77777777" w:rsidR="0008780E" w:rsidRDefault="0008780E" w:rsidP="0008780E">
      <w:pPr>
        <w:jc w:val="both"/>
        <w:rPr>
          <w:rFonts w:cs="Arial"/>
          <w:b/>
          <w:bCs/>
          <w:szCs w:val="28"/>
        </w:rPr>
      </w:pPr>
      <w:r>
        <w:rPr>
          <w:rFonts w:cs="Arial"/>
          <w:b/>
          <w:bCs/>
          <w:szCs w:val="28"/>
        </w:rPr>
        <w:t>STUDENT CONCERNS</w:t>
      </w:r>
    </w:p>
    <w:p w14:paraId="10BFAE26" w14:textId="77777777" w:rsidR="0008780E" w:rsidRPr="007E28FA" w:rsidRDefault="0008780E" w:rsidP="007E28FA">
      <w:pPr>
        <w:jc w:val="both"/>
        <w:rPr>
          <w:rFonts w:cs="Arial"/>
          <w:i/>
          <w:sz w:val="20"/>
          <w:szCs w:val="28"/>
        </w:rPr>
      </w:pPr>
      <w:r>
        <w:rPr>
          <w:rFonts w:cs="Arial"/>
          <w:bCs/>
        </w:rPr>
        <w:t>Each of the Justice and Safety classes has a lead instructor or a Program Coordinator who is responsible for managing the content and curriculum of that class and discussing concerns that students may have with their course or instructor.</w:t>
      </w:r>
    </w:p>
    <w:p w14:paraId="2488AD6A" w14:textId="77777777" w:rsidR="0008780E" w:rsidRDefault="0008780E" w:rsidP="0008780E">
      <w:pPr>
        <w:tabs>
          <w:tab w:val="left" w:pos="-720"/>
        </w:tabs>
        <w:spacing w:line="240" w:lineRule="exact"/>
        <w:rPr>
          <w:rFonts w:cs="Arial"/>
          <w:bCs/>
        </w:rPr>
      </w:pPr>
      <w:r>
        <w:rPr>
          <w:rFonts w:cs="Arial"/>
          <w:bCs/>
        </w:rPr>
        <w:t>If you have a concern:</w:t>
      </w:r>
    </w:p>
    <w:p w14:paraId="2A718B88" w14:textId="77777777" w:rsidR="0008780E" w:rsidRDefault="0008780E" w:rsidP="0008780E">
      <w:pPr>
        <w:tabs>
          <w:tab w:val="left" w:pos="-720"/>
        </w:tabs>
        <w:spacing w:line="240" w:lineRule="exact"/>
        <w:ind w:left="720"/>
        <w:rPr>
          <w:rFonts w:cs="Arial"/>
          <w:bCs/>
        </w:rPr>
      </w:pPr>
      <w:r>
        <w:rPr>
          <w:rFonts w:cs="Arial"/>
          <w:bCs/>
        </w:rPr>
        <w:t xml:space="preserve">·       First, have a discussion with your </w:t>
      </w:r>
      <w:r>
        <w:rPr>
          <w:rFonts w:cs="Arial"/>
          <w:b/>
          <w:bCs/>
        </w:rPr>
        <w:t>instructor</w:t>
      </w:r>
    </w:p>
    <w:p w14:paraId="6102B9F2" w14:textId="77777777" w:rsidR="0008780E" w:rsidRDefault="0008780E" w:rsidP="0008780E">
      <w:pPr>
        <w:tabs>
          <w:tab w:val="left" w:pos="-720"/>
        </w:tabs>
        <w:spacing w:line="240" w:lineRule="exact"/>
        <w:ind w:left="720"/>
        <w:rPr>
          <w:rFonts w:cs="Arial"/>
          <w:bCs/>
        </w:rPr>
      </w:pPr>
      <w:r>
        <w:rPr>
          <w:rFonts w:cs="Arial"/>
          <w:bCs/>
        </w:rPr>
        <w:t xml:space="preserve">·       Second, have a discussion with the </w:t>
      </w:r>
      <w:r>
        <w:rPr>
          <w:rFonts w:cs="Arial"/>
          <w:b/>
          <w:bCs/>
        </w:rPr>
        <w:t>Program Coordinator</w:t>
      </w:r>
      <w:r>
        <w:rPr>
          <w:rFonts w:cs="Arial"/>
          <w:bCs/>
        </w:rPr>
        <w:t xml:space="preserve"> for the course</w:t>
      </w:r>
    </w:p>
    <w:p w14:paraId="40A45513" w14:textId="77777777" w:rsidR="0008780E" w:rsidRDefault="0008780E" w:rsidP="0008780E">
      <w:pPr>
        <w:tabs>
          <w:tab w:val="left" w:pos="-720"/>
        </w:tabs>
        <w:spacing w:line="240" w:lineRule="exact"/>
        <w:ind w:left="720"/>
        <w:rPr>
          <w:rFonts w:cs="Arial"/>
          <w:bCs/>
        </w:rPr>
      </w:pPr>
      <w:r>
        <w:rPr>
          <w:rFonts w:cs="Arial"/>
          <w:bCs/>
        </w:rPr>
        <w:t xml:space="preserve">·       Third, have a discussion with the </w:t>
      </w:r>
      <w:r>
        <w:rPr>
          <w:rFonts w:cs="Arial"/>
          <w:b/>
          <w:bCs/>
        </w:rPr>
        <w:t>Department Chair</w:t>
      </w:r>
    </w:p>
    <w:p w14:paraId="7B60A3C6" w14:textId="77777777" w:rsidR="0008780E" w:rsidRPr="007E28FA" w:rsidRDefault="0008780E" w:rsidP="0008780E">
      <w:pPr>
        <w:tabs>
          <w:tab w:val="left" w:pos="-720"/>
        </w:tabs>
        <w:spacing w:line="240" w:lineRule="exact"/>
        <w:rPr>
          <w:rFonts w:cs="Arial"/>
          <w:bCs/>
        </w:rPr>
      </w:pPr>
      <w:r>
        <w:rPr>
          <w:rFonts w:cs="Arial"/>
          <w:bCs/>
        </w:rPr>
        <w:t xml:space="preserve">At the third step, students should be prepared to fill out a </w:t>
      </w:r>
      <w:r>
        <w:rPr>
          <w:rFonts w:cs="Arial"/>
          <w:b/>
          <w:bCs/>
        </w:rPr>
        <w:t>written, documented</w:t>
      </w:r>
      <w:r w:rsidR="007E28FA">
        <w:rPr>
          <w:rFonts w:cs="Arial"/>
          <w:bCs/>
        </w:rPr>
        <w:t xml:space="preserve"> complaint. </w:t>
      </w:r>
    </w:p>
    <w:p w14:paraId="4577D605" w14:textId="77777777" w:rsidR="0008780E" w:rsidRPr="007E28FA" w:rsidRDefault="0008780E" w:rsidP="007E28FA">
      <w:pPr>
        <w:rPr>
          <w:rFonts w:cs="Arial"/>
          <w:bCs/>
        </w:rPr>
      </w:pPr>
      <w:r>
        <w:rPr>
          <w:rFonts w:cs="Arial"/>
          <w:bCs/>
        </w:rPr>
        <w:t xml:space="preserve">Grade Grievances must comply with the Grade Grievance policy as stated in the </w:t>
      </w:r>
      <w:r>
        <w:rPr>
          <w:rFonts w:cs="Arial"/>
          <w:bCs/>
          <w:i/>
        </w:rPr>
        <w:t>Student Handbook</w:t>
      </w:r>
      <w:r>
        <w:rPr>
          <w:rFonts w:cs="Arial"/>
          <w:bCs/>
        </w:rPr>
        <w:t xml:space="preserve">.  Each of the above steps must be followed under this policy. Students are required to make the initial contact with the instructor no later than the second week of the quarter following the </w:t>
      </w:r>
      <w:r w:rsidR="007E28FA">
        <w:rPr>
          <w:rFonts w:cs="Arial"/>
          <w:bCs/>
        </w:rPr>
        <w:t xml:space="preserve">quarter of the disputed grade. </w:t>
      </w:r>
    </w:p>
    <w:p w14:paraId="215A57A8" w14:textId="77777777" w:rsidR="0008780E" w:rsidRDefault="0008780E" w:rsidP="00E7096A">
      <w:pPr>
        <w:tabs>
          <w:tab w:val="left" w:pos="-720"/>
        </w:tabs>
        <w:spacing w:line="240" w:lineRule="exact"/>
        <w:rPr>
          <w:rFonts w:cs="Arial"/>
          <w:bCs/>
        </w:rPr>
      </w:pPr>
      <w:r>
        <w:rPr>
          <w:rFonts w:cs="Arial"/>
          <w:bCs/>
        </w:rPr>
        <w:t>If a student is dissatisfied with the decision of the instructor on any grade grievance, the student can submit a Grade Grievance form and any accompanying documentation to the Department Chair within seven days of the instr</w:t>
      </w:r>
      <w:r w:rsidR="00E7096A">
        <w:rPr>
          <w:rFonts w:cs="Arial"/>
          <w:bCs/>
        </w:rPr>
        <w:t xml:space="preserve">uctor’s decision on the grade. </w:t>
      </w:r>
    </w:p>
    <w:p w14:paraId="21E199B5" w14:textId="77777777" w:rsidR="00186056" w:rsidRDefault="0008780E" w:rsidP="00E7096A">
      <w:pPr>
        <w:pStyle w:val="BodyText"/>
        <w:rPr>
          <w:rFonts w:cs="Arial"/>
          <w:bCs/>
        </w:rPr>
      </w:pPr>
      <w:r>
        <w:rPr>
          <w:rFonts w:cs="Arial"/>
          <w:bCs/>
        </w:rPr>
        <w:t xml:space="preserve">If the student does not get a response from the instructor within five </w:t>
      </w:r>
      <w:proofErr w:type="gramStart"/>
      <w:r>
        <w:rPr>
          <w:rFonts w:cs="Arial"/>
          <w:bCs/>
        </w:rPr>
        <w:t>days</w:t>
      </w:r>
      <w:proofErr w:type="gramEnd"/>
      <w:r>
        <w:rPr>
          <w:rFonts w:cs="Arial"/>
          <w:bCs/>
        </w:rPr>
        <w:t xml:space="preserve"> then the seven day clock will begin to provide the Grade Grievance Form and documentation to the Chair.  If the Grade Grievance is a valid reason under the </w:t>
      </w:r>
      <w:proofErr w:type="gramStart"/>
      <w:r>
        <w:rPr>
          <w:rFonts w:cs="Arial"/>
          <w:bCs/>
        </w:rPr>
        <w:t>policy</w:t>
      </w:r>
      <w:proofErr w:type="gramEnd"/>
      <w:r>
        <w:rPr>
          <w:rFonts w:cs="Arial"/>
          <w:bCs/>
        </w:rPr>
        <w:t xml:space="preserve"> then a hearing may be granted by the Grade Grievance Committee.  Determinations by the Grade Grievance Committee are final.</w:t>
      </w:r>
    </w:p>
    <w:p w14:paraId="66D267C7" w14:textId="77777777" w:rsidR="00696C9C" w:rsidRDefault="00696C9C" w:rsidP="00E7096A">
      <w:pPr>
        <w:pStyle w:val="BodyText"/>
        <w:rPr>
          <w:rFonts w:cs="Arial"/>
          <w:bCs/>
        </w:rPr>
      </w:pPr>
    </w:p>
    <w:p w14:paraId="30E431E2" w14:textId="77777777" w:rsidR="00696C9C" w:rsidRPr="00696C9C" w:rsidRDefault="00696C9C" w:rsidP="00696C9C">
      <w:pPr>
        <w:tabs>
          <w:tab w:val="left" w:pos="-720"/>
        </w:tabs>
        <w:spacing w:after="0" w:line="240" w:lineRule="exact"/>
        <w:rPr>
          <w:rFonts w:cs="Arial"/>
          <w:b/>
          <w:bCs/>
          <w:kern w:val="0"/>
          <w:sz w:val="24"/>
          <w:szCs w:val="24"/>
          <w:lang w:eastAsia="en-US" w:bidi="ar-SA"/>
        </w:rPr>
      </w:pPr>
      <w:r w:rsidRPr="00696C9C">
        <w:rPr>
          <w:rFonts w:cs="Arial"/>
          <w:b/>
          <w:bCs/>
          <w:kern w:val="0"/>
          <w:sz w:val="24"/>
          <w:szCs w:val="24"/>
          <w:lang w:eastAsia="en-US" w:bidi="ar-SA"/>
        </w:rPr>
        <w:t>The instructor reserves the right to deduct points on assignments that are submitted beyond the deadline.</w:t>
      </w:r>
    </w:p>
    <w:p w14:paraId="3D5A76DB" w14:textId="77777777" w:rsidR="00696C9C" w:rsidRPr="00696C9C" w:rsidRDefault="00696C9C" w:rsidP="00696C9C">
      <w:pPr>
        <w:tabs>
          <w:tab w:val="left" w:pos="-720"/>
        </w:tabs>
        <w:spacing w:after="0" w:line="240" w:lineRule="exact"/>
        <w:rPr>
          <w:rFonts w:cs="Arial"/>
          <w:b/>
          <w:bCs/>
          <w:kern w:val="0"/>
          <w:sz w:val="24"/>
          <w:szCs w:val="24"/>
          <w:lang w:eastAsia="en-US" w:bidi="ar-SA"/>
        </w:rPr>
      </w:pPr>
    </w:p>
    <w:p w14:paraId="528E7B89" w14:textId="77777777" w:rsidR="00696C9C" w:rsidRPr="00696C9C" w:rsidRDefault="00696C9C" w:rsidP="00E7096A">
      <w:pPr>
        <w:pStyle w:val="BodyText"/>
        <w:rPr>
          <w:rFonts w:ascii="Calibri Light" w:hAnsi="Calibri Light" w:cs="Arial"/>
          <w:b/>
          <w:bCs/>
        </w:rPr>
      </w:pPr>
    </w:p>
    <w:p w14:paraId="3F2617A7" w14:textId="77777777" w:rsidR="004F0579" w:rsidRDefault="004F0579" w:rsidP="00E7096A">
      <w:pPr>
        <w:pStyle w:val="BodyText"/>
        <w:rPr>
          <w:rFonts w:ascii="Calibri Light" w:hAnsi="Calibri Light" w:cs="Arial"/>
          <w:bCs/>
        </w:rPr>
      </w:pPr>
    </w:p>
    <w:p w14:paraId="33663630" w14:textId="77777777" w:rsidR="004F0579" w:rsidRDefault="004F0579" w:rsidP="00E7096A">
      <w:pPr>
        <w:pStyle w:val="BodyText"/>
        <w:rPr>
          <w:rFonts w:ascii="Calibri Light" w:hAnsi="Calibri Light" w:cs="Arial"/>
          <w:bCs/>
        </w:rPr>
      </w:pPr>
    </w:p>
    <w:p w14:paraId="7339A514" w14:textId="77777777" w:rsidR="004F0579" w:rsidRDefault="004F0579" w:rsidP="00E7096A">
      <w:pPr>
        <w:pStyle w:val="BodyText"/>
        <w:rPr>
          <w:rFonts w:ascii="Calibri Light" w:hAnsi="Calibri Light" w:cs="Arial"/>
          <w:bCs/>
        </w:rPr>
      </w:pPr>
    </w:p>
    <w:p w14:paraId="057EE1B6" w14:textId="77777777" w:rsidR="004F0579" w:rsidRDefault="004F0579" w:rsidP="00E7096A">
      <w:pPr>
        <w:pStyle w:val="BodyText"/>
        <w:rPr>
          <w:rFonts w:ascii="Calibri Light" w:hAnsi="Calibri Light" w:cs="Arial"/>
          <w:bCs/>
        </w:rPr>
      </w:pPr>
    </w:p>
    <w:p w14:paraId="6FA5B6E4" w14:textId="77777777" w:rsidR="004F0579" w:rsidRDefault="004F0579" w:rsidP="00E7096A">
      <w:pPr>
        <w:pStyle w:val="BodyText"/>
        <w:rPr>
          <w:rFonts w:ascii="Calibri Light" w:hAnsi="Calibri Light" w:cs="Arial"/>
          <w:bCs/>
        </w:rPr>
      </w:pPr>
    </w:p>
    <w:p w14:paraId="43663660" w14:textId="77777777" w:rsidR="004F0579" w:rsidRDefault="004F0579" w:rsidP="00E7096A">
      <w:pPr>
        <w:pStyle w:val="BodyText"/>
        <w:rPr>
          <w:rFonts w:ascii="Calibri Light" w:hAnsi="Calibri Light" w:cs="Arial"/>
          <w:bCs/>
        </w:rPr>
      </w:pPr>
    </w:p>
    <w:p w14:paraId="4340C9EE" w14:textId="77777777" w:rsidR="00EE20BB" w:rsidRDefault="00EE20BB" w:rsidP="00E7096A">
      <w:pPr>
        <w:pStyle w:val="BodyText"/>
        <w:rPr>
          <w:rFonts w:ascii="Arial" w:hAnsi="Arial"/>
          <w:b/>
          <w:color w:val="000000"/>
          <w:sz w:val="24"/>
        </w:rPr>
      </w:pPr>
    </w:p>
    <w:p w14:paraId="278F8D20" w14:textId="77777777" w:rsidR="0008780E" w:rsidRDefault="009C24D5">
      <w:pPr>
        <w:pStyle w:val="BodyText"/>
        <w:jc w:val="both"/>
        <w:rPr>
          <w:rFonts w:ascii="Arial" w:hAnsi="Arial"/>
          <w:b/>
          <w:color w:val="000000"/>
          <w:sz w:val="24"/>
        </w:rPr>
      </w:pPr>
      <w:r>
        <w:rPr>
          <w:rFonts w:ascii="Arial" w:hAnsi="Arial"/>
          <w:b/>
          <w:color w:val="000000"/>
          <w:sz w:val="24"/>
        </w:rPr>
        <w:t>Assignments (subject to cha</w:t>
      </w:r>
      <w:r w:rsidR="00E7096A">
        <w:rPr>
          <w:rFonts w:ascii="Arial" w:hAnsi="Arial"/>
          <w:b/>
          <w:color w:val="000000"/>
          <w:sz w:val="24"/>
        </w:rPr>
        <w:t>nge, as the course progresses):</w:t>
      </w:r>
    </w:p>
    <w:p w14:paraId="4925BA0C" w14:textId="77777777" w:rsidR="00EE20BB" w:rsidRPr="007A7D65" w:rsidRDefault="00EE20BB">
      <w:pPr>
        <w:pStyle w:val="BodyText"/>
        <w:jc w:val="both"/>
        <w:rPr>
          <w:rFonts w:ascii="Arial" w:hAnsi="Arial"/>
          <w:b/>
          <w:color w:val="A20000"/>
          <w:sz w:val="24"/>
        </w:rPr>
      </w:pPr>
      <w:r w:rsidRPr="007A7D65">
        <w:rPr>
          <w:rFonts w:ascii="Arial" w:hAnsi="Arial"/>
          <w:b/>
          <w:color w:val="A20000"/>
          <w:sz w:val="24"/>
        </w:rPr>
        <w:t>All projects submitted via e-mail in Word format.</w:t>
      </w:r>
    </w:p>
    <w:p w14:paraId="475F4BC1" w14:textId="77777777" w:rsidR="00734C0A" w:rsidRDefault="00734C0A" w:rsidP="00734C0A">
      <w:pPr>
        <w:pStyle w:val="BodyText"/>
        <w:tabs>
          <w:tab w:val="left" w:pos="540"/>
        </w:tabs>
        <w:spacing w:line="240" w:lineRule="auto"/>
        <w:jc w:val="both"/>
        <w:rPr>
          <w:color w:val="000000"/>
          <w:szCs w:val="22"/>
        </w:rPr>
      </w:pPr>
      <w:r>
        <w:rPr>
          <w:color w:val="000000"/>
          <w:szCs w:val="22"/>
        </w:rPr>
        <w:t>Week #1</w:t>
      </w:r>
      <w:r>
        <w:rPr>
          <w:color w:val="000000"/>
          <w:szCs w:val="22"/>
        </w:rPr>
        <w:tab/>
        <w:t>Chapter 1                Finding the law</w:t>
      </w:r>
    </w:p>
    <w:p w14:paraId="2DEA0C72" w14:textId="77777777" w:rsidR="00734C0A" w:rsidRDefault="00734C0A" w:rsidP="00734C0A">
      <w:pPr>
        <w:pStyle w:val="BodyText"/>
        <w:tabs>
          <w:tab w:val="left" w:pos="540"/>
        </w:tabs>
        <w:spacing w:line="240" w:lineRule="auto"/>
        <w:jc w:val="both"/>
        <w:rPr>
          <w:color w:val="000000"/>
          <w:szCs w:val="22"/>
        </w:rPr>
      </w:pPr>
      <w:r>
        <w:rPr>
          <w:color w:val="000000"/>
          <w:szCs w:val="22"/>
        </w:rPr>
        <w:tab/>
      </w:r>
      <w:r>
        <w:rPr>
          <w:color w:val="000000"/>
          <w:szCs w:val="22"/>
        </w:rPr>
        <w:tab/>
      </w:r>
      <w:r>
        <w:rPr>
          <w:color w:val="000000"/>
          <w:szCs w:val="22"/>
        </w:rPr>
        <w:tab/>
        <w:t>Chapter 2</w:t>
      </w:r>
      <w:r>
        <w:rPr>
          <w:color w:val="000000"/>
          <w:szCs w:val="22"/>
        </w:rPr>
        <w:tab/>
        <w:t xml:space="preserve">     The Federal and State court systems</w:t>
      </w:r>
      <w:r>
        <w:rPr>
          <w:color w:val="000000"/>
          <w:szCs w:val="22"/>
        </w:rPr>
        <w:tab/>
      </w:r>
      <w:r>
        <w:rPr>
          <w:color w:val="000000"/>
          <w:szCs w:val="22"/>
        </w:rPr>
        <w:tab/>
      </w:r>
      <w:r>
        <w:rPr>
          <w:color w:val="000000"/>
          <w:szCs w:val="22"/>
        </w:rPr>
        <w:tab/>
      </w:r>
      <w:r>
        <w:rPr>
          <w:color w:val="000000"/>
          <w:szCs w:val="22"/>
        </w:rPr>
        <w:tab/>
      </w:r>
    </w:p>
    <w:p w14:paraId="06EC4962" w14:textId="77777777" w:rsidR="00734C0A" w:rsidRDefault="00734C0A" w:rsidP="00734C0A">
      <w:pPr>
        <w:pStyle w:val="BodyText"/>
        <w:tabs>
          <w:tab w:val="left" w:pos="540"/>
        </w:tabs>
        <w:spacing w:line="240" w:lineRule="auto"/>
        <w:jc w:val="both"/>
        <w:rPr>
          <w:color w:val="000000"/>
          <w:szCs w:val="22"/>
        </w:rPr>
      </w:pPr>
      <w:r>
        <w:rPr>
          <w:color w:val="000000"/>
          <w:szCs w:val="22"/>
        </w:rPr>
        <w:t>Week #2</w:t>
      </w:r>
      <w:r>
        <w:rPr>
          <w:color w:val="000000"/>
          <w:szCs w:val="22"/>
        </w:rPr>
        <w:tab/>
        <w:t>Chapter 13              Overview of the research process</w:t>
      </w:r>
    </w:p>
    <w:p w14:paraId="31C7F185" w14:textId="77777777" w:rsidR="00734C0A" w:rsidRDefault="00734C0A" w:rsidP="00734C0A">
      <w:pPr>
        <w:pStyle w:val="BodyText"/>
        <w:tabs>
          <w:tab w:val="left" w:pos="540"/>
        </w:tabs>
        <w:spacing w:line="240" w:lineRule="auto"/>
        <w:jc w:val="both"/>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t xml:space="preserve">      Worksheet 1 – Basic Case Information</w:t>
      </w:r>
      <w:r>
        <w:rPr>
          <w:color w:val="000000"/>
          <w:szCs w:val="22"/>
        </w:rPr>
        <w:tab/>
      </w:r>
      <w:r>
        <w:rPr>
          <w:color w:val="000000"/>
          <w:szCs w:val="22"/>
        </w:rPr>
        <w:tab/>
      </w:r>
    </w:p>
    <w:p w14:paraId="5E8948A4" w14:textId="77777777" w:rsidR="00734C0A" w:rsidRDefault="00734C0A" w:rsidP="00734C0A">
      <w:pPr>
        <w:pStyle w:val="BodyText"/>
        <w:tabs>
          <w:tab w:val="left" w:pos="540"/>
        </w:tabs>
        <w:spacing w:line="240" w:lineRule="auto"/>
        <w:jc w:val="both"/>
        <w:rPr>
          <w:color w:val="000000"/>
          <w:szCs w:val="22"/>
        </w:rPr>
      </w:pPr>
      <w:r>
        <w:rPr>
          <w:color w:val="000000"/>
          <w:szCs w:val="22"/>
        </w:rPr>
        <w:t>Week #3</w:t>
      </w:r>
      <w:r>
        <w:rPr>
          <w:color w:val="000000"/>
          <w:szCs w:val="22"/>
        </w:rPr>
        <w:tab/>
        <w:t xml:space="preserve">Posted Material      Case Analysis Skills - Materials provided          </w:t>
      </w:r>
      <w:r>
        <w:rPr>
          <w:color w:val="000000"/>
          <w:szCs w:val="22"/>
        </w:rPr>
        <w:tab/>
      </w:r>
      <w:r>
        <w:rPr>
          <w:color w:val="000000"/>
          <w:szCs w:val="22"/>
        </w:rPr>
        <w:tab/>
      </w:r>
      <w:r>
        <w:rPr>
          <w:color w:val="000000"/>
          <w:szCs w:val="22"/>
        </w:rPr>
        <w:tab/>
      </w:r>
    </w:p>
    <w:p w14:paraId="53B4A6CD" w14:textId="77777777" w:rsidR="00734C0A" w:rsidRDefault="00734C0A" w:rsidP="00734C0A">
      <w:pPr>
        <w:pStyle w:val="BodyText"/>
        <w:tabs>
          <w:tab w:val="left" w:pos="540"/>
        </w:tabs>
        <w:spacing w:line="240" w:lineRule="auto"/>
        <w:jc w:val="both"/>
        <w:rPr>
          <w:color w:val="000000"/>
          <w:szCs w:val="22"/>
        </w:rPr>
      </w:pPr>
      <w:r>
        <w:rPr>
          <w:color w:val="000000"/>
          <w:szCs w:val="22"/>
        </w:rPr>
        <w:t>Week #4</w:t>
      </w:r>
      <w:r>
        <w:rPr>
          <w:color w:val="000000"/>
          <w:szCs w:val="22"/>
        </w:rPr>
        <w:tab/>
        <w:t>Chapter 3</w:t>
      </w:r>
      <w:r>
        <w:rPr>
          <w:color w:val="000000"/>
          <w:szCs w:val="22"/>
        </w:rPr>
        <w:tab/>
        <w:t xml:space="preserve">      Statutory law; Worksheet 2, Statutes</w:t>
      </w:r>
      <w:r>
        <w:rPr>
          <w:color w:val="000000"/>
          <w:szCs w:val="22"/>
        </w:rPr>
        <w:tab/>
      </w:r>
      <w:r>
        <w:rPr>
          <w:color w:val="000000"/>
          <w:szCs w:val="22"/>
        </w:rPr>
        <w:tab/>
      </w:r>
      <w:r>
        <w:rPr>
          <w:color w:val="000000"/>
          <w:szCs w:val="22"/>
        </w:rPr>
        <w:tab/>
      </w:r>
      <w:r>
        <w:rPr>
          <w:color w:val="000000"/>
          <w:szCs w:val="22"/>
        </w:rPr>
        <w:tab/>
        <w:t xml:space="preserve"> </w:t>
      </w:r>
    </w:p>
    <w:p w14:paraId="546FDD8A" w14:textId="77777777" w:rsidR="00734C0A" w:rsidRDefault="00734C0A" w:rsidP="00734C0A">
      <w:pPr>
        <w:pStyle w:val="BodyText"/>
        <w:tabs>
          <w:tab w:val="left" w:pos="540"/>
        </w:tabs>
        <w:spacing w:line="240" w:lineRule="auto"/>
        <w:jc w:val="both"/>
        <w:rPr>
          <w:color w:val="000000"/>
          <w:szCs w:val="22"/>
        </w:rPr>
      </w:pPr>
      <w:r>
        <w:rPr>
          <w:color w:val="000000"/>
          <w:szCs w:val="22"/>
        </w:rPr>
        <w:t>Week #5</w:t>
      </w:r>
      <w:r>
        <w:rPr>
          <w:color w:val="000000"/>
          <w:szCs w:val="22"/>
        </w:rPr>
        <w:tab/>
        <w:t>Chapter 4</w:t>
      </w:r>
      <w:r>
        <w:rPr>
          <w:color w:val="000000"/>
          <w:szCs w:val="22"/>
        </w:rPr>
        <w:tab/>
        <w:t xml:space="preserve">      Case law – judicial opinions, Project 1 - Case Brief</w:t>
      </w:r>
    </w:p>
    <w:p w14:paraId="6292D385" w14:textId="77777777" w:rsidR="00734C0A" w:rsidRDefault="00734C0A" w:rsidP="00734C0A">
      <w:pPr>
        <w:pStyle w:val="BodyText"/>
        <w:tabs>
          <w:tab w:val="left" w:pos="540"/>
        </w:tabs>
        <w:spacing w:line="240" w:lineRule="auto"/>
        <w:jc w:val="both"/>
        <w:rPr>
          <w:color w:val="000000"/>
          <w:szCs w:val="22"/>
        </w:rPr>
      </w:pPr>
      <w:r>
        <w:rPr>
          <w:color w:val="000000"/>
          <w:szCs w:val="22"/>
        </w:rPr>
        <w:t>Week #6</w:t>
      </w:r>
      <w:r>
        <w:rPr>
          <w:color w:val="000000"/>
          <w:szCs w:val="22"/>
        </w:rPr>
        <w:tab/>
        <w:t>Chapter 8</w:t>
      </w:r>
      <w:r>
        <w:rPr>
          <w:color w:val="000000"/>
          <w:szCs w:val="22"/>
        </w:rPr>
        <w:tab/>
        <w:t xml:space="preserve">      Legal citation form – </w:t>
      </w:r>
      <w:r>
        <w:rPr>
          <w:b/>
          <w:color w:val="000000"/>
          <w:szCs w:val="22"/>
        </w:rPr>
        <w:t>Sections A –F only</w:t>
      </w:r>
      <w:r w:rsidR="002B3BFD">
        <w:rPr>
          <w:color w:val="000000"/>
          <w:szCs w:val="22"/>
        </w:rPr>
        <w:t>;</w:t>
      </w:r>
      <w:r>
        <w:rPr>
          <w:color w:val="000000"/>
          <w:szCs w:val="22"/>
        </w:rPr>
        <w:t xml:space="preserve"> Worksheet 3</w:t>
      </w:r>
      <w:r>
        <w:rPr>
          <w:color w:val="000000"/>
          <w:szCs w:val="22"/>
        </w:rPr>
        <w:tab/>
      </w:r>
      <w:r>
        <w:rPr>
          <w:color w:val="000000"/>
          <w:szCs w:val="22"/>
        </w:rPr>
        <w:tab/>
      </w:r>
    </w:p>
    <w:p w14:paraId="35C96DBC" w14:textId="77777777" w:rsidR="00734C0A" w:rsidRDefault="00734C0A" w:rsidP="00734C0A">
      <w:pPr>
        <w:pStyle w:val="BodyText"/>
        <w:tabs>
          <w:tab w:val="left" w:pos="540"/>
        </w:tabs>
        <w:spacing w:line="240" w:lineRule="auto"/>
        <w:jc w:val="both"/>
        <w:rPr>
          <w:color w:val="000000"/>
          <w:szCs w:val="22"/>
        </w:rPr>
      </w:pPr>
      <w:r>
        <w:rPr>
          <w:color w:val="000000"/>
          <w:szCs w:val="22"/>
        </w:rPr>
        <w:t>Week #7</w:t>
      </w:r>
      <w:r>
        <w:rPr>
          <w:color w:val="000000"/>
          <w:szCs w:val="22"/>
        </w:rPr>
        <w:tab/>
        <w:t>Chapter 5</w:t>
      </w:r>
      <w:r>
        <w:rPr>
          <w:color w:val="000000"/>
          <w:szCs w:val="22"/>
        </w:rPr>
        <w:tab/>
        <w:t xml:space="preserve">      Use of digests, an</w:t>
      </w:r>
      <w:r w:rsidR="00600F47">
        <w:rPr>
          <w:color w:val="000000"/>
          <w:szCs w:val="22"/>
        </w:rPr>
        <w:t>notated law reports</w:t>
      </w:r>
      <w:r>
        <w:rPr>
          <w:color w:val="000000"/>
          <w:szCs w:val="22"/>
        </w:rPr>
        <w:tab/>
      </w:r>
    </w:p>
    <w:p w14:paraId="0B8385AA" w14:textId="77777777" w:rsidR="00734C0A" w:rsidRDefault="00734C0A" w:rsidP="00734C0A">
      <w:pPr>
        <w:pStyle w:val="BodyText"/>
        <w:tabs>
          <w:tab w:val="left" w:pos="540"/>
        </w:tabs>
        <w:spacing w:line="240" w:lineRule="auto"/>
        <w:jc w:val="both"/>
        <w:rPr>
          <w:color w:val="000000"/>
          <w:szCs w:val="22"/>
        </w:rPr>
      </w:pPr>
      <w:r>
        <w:rPr>
          <w:color w:val="000000"/>
          <w:szCs w:val="22"/>
        </w:rPr>
        <w:t>Week #8</w:t>
      </w:r>
      <w:r>
        <w:rPr>
          <w:color w:val="000000"/>
          <w:szCs w:val="22"/>
        </w:rPr>
        <w:tab/>
        <w:t>Chapter</w:t>
      </w:r>
      <w:r w:rsidR="002B3BFD">
        <w:rPr>
          <w:color w:val="000000"/>
          <w:szCs w:val="22"/>
        </w:rPr>
        <w:t>s</w:t>
      </w:r>
      <w:r>
        <w:rPr>
          <w:color w:val="000000"/>
          <w:szCs w:val="22"/>
        </w:rPr>
        <w:t xml:space="preserve"> 6</w:t>
      </w:r>
      <w:r w:rsidR="002B3BFD">
        <w:rPr>
          <w:color w:val="000000"/>
          <w:szCs w:val="22"/>
        </w:rPr>
        <w:t xml:space="preserve"> &amp; 7</w:t>
      </w:r>
      <w:r>
        <w:rPr>
          <w:color w:val="000000"/>
          <w:szCs w:val="22"/>
        </w:rPr>
        <w:tab/>
        <w:t xml:space="preserve">      Encyclopedias, periodicals, treatises, restatements</w:t>
      </w:r>
    </w:p>
    <w:p w14:paraId="4FAB7F5B" w14:textId="77777777" w:rsidR="000375AF" w:rsidRDefault="00600F47" w:rsidP="00734C0A">
      <w:pPr>
        <w:pStyle w:val="BodyText"/>
        <w:tabs>
          <w:tab w:val="left" w:pos="540"/>
        </w:tabs>
        <w:spacing w:line="240" w:lineRule="auto"/>
        <w:jc w:val="both"/>
        <w:rPr>
          <w:color w:val="000000"/>
          <w:szCs w:val="22"/>
        </w:rPr>
      </w:pPr>
      <w:r>
        <w:rPr>
          <w:color w:val="000000"/>
          <w:szCs w:val="22"/>
        </w:rPr>
        <w:tab/>
      </w:r>
      <w:r>
        <w:rPr>
          <w:color w:val="000000"/>
          <w:szCs w:val="22"/>
        </w:rPr>
        <w:tab/>
      </w:r>
      <w:r>
        <w:rPr>
          <w:color w:val="000000"/>
          <w:szCs w:val="22"/>
        </w:rPr>
        <w:tab/>
      </w:r>
      <w:r>
        <w:rPr>
          <w:color w:val="000000"/>
          <w:szCs w:val="22"/>
        </w:rPr>
        <w:tab/>
      </w:r>
      <w:r>
        <w:rPr>
          <w:color w:val="000000"/>
          <w:szCs w:val="22"/>
        </w:rPr>
        <w:tab/>
        <w:t xml:space="preserve">       Worksheet 4 (Chapters 5 &amp; 6)</w:t>
      </w:r>
    </w:p>
    <w:p w14:paraId="0141B388" w14:textId="77777777" w:rsidR="004F0579" w:rsidRPr="004F0579" w:rsidRDefault="004F0579" w:rsidP="00734C0A">
      <w:pPr>
        <w:pStyle w:val="BodyText"/>
        <w:tabs>
          <w:tab w:val="left" w:pos="540"/>
        </w:tabs>
        <w:spacing w:line="240" w:lineRule="auto"/>
        <w:jc w:val="both"/>
        <w:rPr>
          <w:b/>
          <w:color w:val="000000"/>
          <w:szCs w:val="22"/>
        </w:rPr>
      </w:pPr>
      <w:r>
        <w:rPr>
          <w:b/>
          <w:color w:val="000000"/>
          <w:szCs w:val="22"/>
        </w:rPr>
        <w:t>Spring Break March 11 - 16</w:t>
      </w:r>
    </w:p>
    <w:p w14:paraId="50912A58" w14:textId="77777777" w:rsidR="00734C0A" w:rsidRDefault="00734C0A" w:rsidP="00734C0A">
      <w:pPr>
        <w:pStyle w:val="BodyText"/>
        <w:tabs>
          <w:tab w:val="left" w:pos="540"/>
        </w:tabs>
        <w:spacing w:line="240" w:lineRule="auto"/>
        <w:jc w:val="both"/>
        <w:rPr>
          <w:color w:val="000000"/>
          <w:szCs w:val="22"/>
        </w:rPr>
      </w:pPr>
      <w:r>
        <w:rPr>
          <w:color w:val="000000"/>
          <w:szCs w:val="22"/>
        </w:rPr>
        <w:t>Week #9</w:t>
      </w:r>
      <w:r>
        <w:rPr>
          <w:color w:val="000000"/>
          <w:szCs w:val="22"/>
        </w:rPr>
        <w:tab/>
        <w:t>Chapter 9</w:t>
      </w:r>
      <w:r>
        <w:rPr>
          <w:color w:val="000000"/>
          <w:szCs w:val="22"/>
        </w:rPr>
        <w:tab/>
        <w:t xml:space="preserve">      Updating and validating your research</w:t>
      </w:r>
      <w:r w:rsidR="00600F47">
        <w:rPr>
          <w:color w:val="000000"/>
          <w:szCs w:val="22"/>
        </w:rPr>
        <w:t>; Worksheet 5</w:t>
      </w:r>
      <w:r>
        <w:rPr>
          <w:color w:val="000000"/>
          <w:szCs w:val="22"/>
        </w:rPr>
        <w:tab/>
      </w:r>
      <w:r>
        <w:rPr>
          <w:color w:val="000000"/>
          <w:szCs w:val="22"/>
        </w:rPr>
        <w:tab/>
      </w:r>
      <w:r>
        <w:rPr>
          <w:color w:val="000000"/>
          <w:szCs w:val="22"/>
        </w:rPr>
        <w:tab/>
      </w:r>
    </w:p>
    <w:p w14:paraId="6C1245D0" w14:textId="77777777" w:rsidR="00734C0A" w:rsidRPr="002C1974" w:rsidRDefault="00734C0A" w:rsidP="00734C0A">
      <w:pPr>
        <w:pStyle w:val="BodyText"/>
        <w:tabs>
          <w:tab w:val="left" w:pos="540"/>
        </w:tabs>
        <w:spacing w:line="240" w:lineRule="auto"/>
        <w:jc w:val="both"/>
        <w:rPr>
          <w:color w:val="FF0000"/>
          <w:szCs w:val="22"/>
        </w:rPr>
      </w:pPr>
      <w:r>
        <w:rPr>
          <w:color w:val="000000"/>
          <w:szCs w:val="22"/>
        </w:rPr>
        <w:t xml:space="preserve"> </w:t>
      </w:r>
      <w:r>
        <w:rPr>
          <w:color w:val="000000"/>
          <w:szCs w:val="22"/>
        </w:rPr>
        <w:tab/>
      </w:r>
      <w:r>
        <w:rPr>
          <w:color w:val="000000"/>
          <w:szCs w:val="22"/>
        </w:rPr>
        <w:tab/>
      </w:r>
      <w:r>
        <w:rPr>
          <w:color w:val="000000"/>
          <w:szCs w:val="22"/>
        </w:rPr>
        <w:tab/>
        <w:t>Chapter 11</w:t>
      </w:r>
      <w:r>
        <w:rPr>
          <w:color w:val="000000"/>
          <w:szCs w:val="22"/>
        </w:rPr>
        <w:tab/>
        <w:t xml:space="preserve">      Digital libraries:  Lexis, Westlaw, and other no</w:t>
      </w:r>
      <w:r w:rsidR="00600F47">
        <w:rPr>
          <w:color w:val="000000"/>
          <w:szCs w:val="22"/>
        </w:rPr>
        <w:t xml:space="preserve">n-print </w:t>
      </w:r>
      <w:r w:rsidR="00600F47">
        <w:rPr>
          <w:color w:val="000000"/>
          <w:szCs w:val="22"/>
        </w:rPr>
        <w:tab/>
      </w:r>
      <w:r w:rsidR="00600F47">
        <w:rPr>
          <w:color w:val="000000"/>
          <w:szCs w:val="22"/>
        </w:rPr>
        <w:tab/>
      </w:r>
      <w:r w:rsidR="00600F47">
        <w:rPr>
          <w:color w:val="000000"/>
          <w:szCs w:val="22"/>
        </w:rPr>
        <w:tab/>
      </w:r>
      <w:r w:rsidR="00600F47">
        <w:rPr>
          <w:color w:val="000000"/>
          <w:szCs w:val="22"/>
        </w:rPr>
        <w:tab/>
      </w:r>
      <w:r w:rsidR="00600F47">
        <w:rPr>
          <w:color w:val="000000"/>
          <w:szCs w:val="22"/>
        </w:rPr>
        <w:tab/>
      </w:r>
      <w:r w:rsidR="00600F47">
        <w:rPr>
          <w:color w:val="000000"/>
          <w:szCs w:val="22"/>
        </w:rPr>
        <w:tab/>
      </w:r>
      <w:r w:rsidR="00600F47">
        <w:rPr>
          <w:color w:val="000000"/>
          <w:szCs w:val="22"/>
        </w:rPr>
        <w:tab/>
        <w:t xml:space="preserve">      resources</w:t>
      </w:r>
      <w:r w:rsidR="002B3BFD">
        <w:rPr>
          <w:color w:val="000000"/>
          <w:szCs w:val="22"/>
        </w:rPr>
        <w:t>.</w:t>
      </w:r>
    </w:p>
    <w:p w14:paraId="140D2BAF" w14:textId="77777777" w:rsidR="00734C0A" w:rsidRDefault="00734C0A" w:rsidP="00734C0A">
      <w:pPr>
        <w:pStyle w:val="BodyText"/>
        <w:tabs>
          <w:tab w:val="left" w:pos="540"/>
        </w:tabs>
        <w:spacing w:line="240" w:lineRule="auto"/>
        <w:jc w:val="both"/>
        <w:rPr>
          <w:color w:val="000000"/>
          <w:szCs w:val="22"/>
        </w:rPr>
      </w:pPr>
      <w:r>
        <w:rPr>
          <w:color w:val="000000"/>
          <w:szCs w:val="22"/>
        </w:rPr>
        <w:t>Week #10</w:t>
      </w:r>
      <w:r>
        <w:rPr>
          <w:color w:val="000000"/>
          <w:szCs w:val="22"/>
        </w:rPr>
        <w:tab/>
        <w:t>Chapter 8</w:t>
      </w:r>
      <w:r>
        <w:rPr>
          <w:color w:val="000000"/>
          <w:szCs w:val="22"/>
        </w:rPr>
        <w:tab/>
        <w:t xml:space="preserve">      Legal citati</w:t>
      </w:r>
      <w:r w:rsidR="00600F47">
        <w:rPr>
          <w:color w:val="000000"/>
          <w:szCs w:val="22"/>
        </w:rPr>
        <w:t>on form (revisited)</w:t>
      </w:r>
    </w:p>
    <w:p w14:paraId="58519A6F" w14:textId="77777777" w:rsidR="00734C0A" w:rsidRDefault="00734C0A" w:rsidP="00734C0A">
      <w:pPr>
        <w:pStyle w:val="BodyText"/>
        <w:tabs>
          <w:tab w:val="left" w:pos="540"/>
        </w:tabs>
        <w:spacing w:line="240" w:lineRule="auto"/>
        <w:jc w:val="both"/>
        <w:rPr>
          <w:color w:val="000000"/>
          <w:szCs w:val="22"/>
        </w:rPr>
      </w:pPr>
      <w:r>
        <w:rPr>
          <w:color w:val="000000"/>
          <w:szCs w:val="22"/>
        </w:rPr>
        <w:t>Week #11</w:t>
      </w:r>
      <w:r>
        <w:rPr>
          <w:color w:val="000000"/>
          <w:szCs w:val="22"/>
        </w:rPr>
        <w:tab/>
        <w:t>Chapte</w:t>
      </w:r>
      <w:r w:rsidR="00600F47">
        <w:rPr>
          <w:color w:val="000000"/>
          <w:szCs w:val="22"/>
        </w:rPr>
        <w:t>r 8                 Cite form continued;</w:t>
      </w:r>
      <w:r w:rsidR="00600F47" w:rsidRPr="00600F47">
        <w:rPr>
          <w:color w:val="000000"/>
          <w:szCs w:val="22"/>
        </w:rPr>
        <w:t xml:space="preserve"> </w:t>
      </w:r>
      <w:r w:rsidR="00600F47">
        <w:rPr>
          <w:color w:val="000000"/>
          <w:szCs w:val="22"/>
        </w:rPr>
        <w:t xml:space="preserve">Worksheet 6 </w:t>
      </w:r>
      <w:r w:rsidR="00600F47">
        <w:rPr>
          <w:color w:val="000000"/>
          <w:szCs w:val="22"/>
        </w:rPr>
        <w:tab/>
      </w:r>
      <w:r w:rsidR="00600F47">
        <w:rPr>
          <w:color w:val="000000"/>
          <w:szCs w:val="22"/>
        </w:rPr>
        <w:tab/>
      </w:r>
      <w:r w:rsidR="00600F47">
        <w:rPr>
          <w:color w:val="000000"/>
          <w:szCs w:val="22"/>
        </w:rPr>
        <w:tab/>
      </w:r>
      <w:r w:rsidR="00600F47">
        <w:rPr>
          <w:color w:val="000000"/>
          <w:szCs w:val="22"/>
        </w:rPr>
        <w:tab/>
      </w:r>
      <w:r>
        <w:rPr>
          <w:color w:val="000000"/>
          <w:szCs w:val="22"/>
        </w:rPr>
        <w:tab/>
      </w:r>
    </w:p>
    <w:p w14:paraId="4D9E8790" w14:textId="77777777" w:rsidR="00734C0A" w:rsidRDefault="00734C0A" w:rsidP="00734C0A">
      <w:pPr>
        <w:pStyle w:val="BodyText"/>
        <w:tabs>
          <w:tab w:val="left" w:pos="540"/>
        </w:tabs>
        <w:spacing w:line="240" w:lineRule="auto"/>
        <w:jc w:val="both"/>
        <w:rPr>
          <w:color w:val="000000"/>
          <w:szCs w:val="22"/>
        </w:rPr>
      </w:pPr>
      <w:r>
        <w:rPr>
          <w:color w:val="000000"/>
          <w:szCs w:val="22"/>
        </w:rPr>
        <w:t xml:space="preserve">Week #12   </w:t>
      </w:r>
      <w:r>
        <w:rPr>
          <w:color w:val="000000"/>
          <w:szCs w:val="22"/>
        </w:rPr>
        <w:tab/>
        <w:t>Chapter 14</w:t>
      </w:r>
      <w:r>
        <w:rPr>
          <w:color w:val="000000"/>
          <w:szCs w:val="22"/>
        </w:rPr>
        <w:tab/>
        <w:t xml:space="preserve">      Back to basics</w:t>
      </w:r>
    </w:p>
    <w:p w14:paraId="55C38716" w14:textId="77777777" w:rsidR="00734C0A" w:rsidRDefault="002B3BFD" w:rsidP="002B3BFD">
      <w:pPr>
        <w:pStyle w:val="BodyText"/>
        <w:tabs>
          <w:tab w:val="left" w:pos="540"/>
        </w:tabs>
        <w:spacing w:line="240" w:lineRule="auto"/>
        <w:ind w:left="1440" w:hanging="1440"/>
        <w:jc w:val="both"/>
        <w:rPr>
          <w:color w:val="000000"/>
          <w:szCs w:val="22"/>
        </w:rPr>
      </w:pPr>
      <w:r>
        <w:rPr>
          <w:color w:val="000000"/>
          <w:szCs w:val="22"/>
        </w:rPr>
        <w:tab/>
      </w:r>
      <w:r w:rsidR="00734C0A">
        <w:rPr>
          <w:color w:val="000000"/>
          <w:szCs w:val="22"/>
        </w:rPr>
        <w:tab/>
        <w:t>Chapter 15</w:t>
      </w:r>
      <w:r w:rsidR="00734C0A">
        <w:rPr>
          <w:color w:val="000000"/>
          <w:szCs w:val="22"/>
        </w:rPr>
        <w:tab/>
        <w:t xml:space="preserve">      St</w:t>
      </w:r>
      <w:r>
        <w:rPr>
          <w:color w:val="000000"/>
          <w:szCs w:val="22"/>
        </w:rPr>
        <w:t>rategies for effective writing.</w:t>
      </w:r>
    </w:p>
    <w:p w14:paraId="492246C9" w14:textId="77777777" w:rsidR="002B3BFD" w:rsidRPr="002B3BFD" w:rsidRDefault="002B3BFD" w:rsidP="002B3BFD">
      <w:pPr>
        <w:pStyle w:val="BodyText"/>
        <w:tabs>
          <w:tab w:val="left" w:pos="540"/>
        </w:tabs>
        <w:spacing w:line="240" w:lineRule="auto"/>
        <w:ind w:left="1440" w:hanging="1440"/>
        <w:jc w:val="both"/>
        <w:rPr>
          <w:szCs w:val="22"/>
        </w:rPr>
      </w:pPr>
      <w:r w:rsidRPr="002B3BFD">
        <w:rPr>
          <w:szCs w:val="22"/>
        </w:rPr>
        <w:t>Week #13</w:t>
      </w:r>
      <w:r>
        <w:rPr>
          <w:szCs w:val="22"/>
        </w:rPr>
        <w:tab/>
        <w:t>Chapter 17</w:t>
      </w:r>
      <w:r>
        <w:rPr>
          <w:szCs w:val="22"/>
        </w:rPr>
        <w:tab/>
        <w:t xml:space="preserve">      Legal Memo</w:t>
      </w:r>
    </w:p>
    <w:p w14:paraId="43026729" w14:textId="77777777" w:rsidR="00734C0A" w:rsidRDefault="003A02B3" w:rsidP="00734C0A">
      <w:pPr>
        <w:pStyle w:val="BodyText"/>
        <w:tabs>
          <w:tab w:val="left" w:pos="540"/>
        </w:tabs>
        <w:spacing w:line="240" w:lineRule="auto"/>
        <w:jc w:val="both"/>
        <w:rPr>
          <w:color w:val="000000"/>
          <w:szCs w:val="22"/>
        </w:rPr>
      </w:pPr>
      <w:r>
        <w:rPr>
          <w:color w:val="000000"/>
          <w:szCs w:val="22"/>
        </w:rPr>
        <w:t>Week #14</w:t>
      </w:r>
      <w:r>
        <w:rPr>
          <w:color w:val="000000"/>
          <w:szCs w:val="22"/>
        </w:rPr>
        <w:tab/>
      </w:r>
      <w:r>
        <w:rPr>
          <w:color w:val="000000"/>
          <w:szCs w:val="22"/>
        </w:rPr>
        <w:tab/>
      </w:r>
      <w:r w:rsidR="002B3BFD">
        <w:rPr>
          <w:color w:val="000000"/>
          <w:szCs w:val="22"/>
        </w:rPr>
        <w:tab/>
        <w:t xml:space="preserve">      R</w:t>
      </w:r>
      <w:r w:rsidR="0036141F">
        <w:rPr>
          <w:color w:val="000000"/>
          <w:szCs w:val="22"/>
        </w:rPr>
        <w:t>esearch issues – Project 2</w:t>
      </w:r>
      <w:r w:rsidR="002C1974">
        <w:rPr>
          <w:color w:val="000000"/>
          <w:szCs w:val="22"/>
        </w:rPr>
        <w:t xml:space="preserve"> – Legal Memo</w:t>
      </w:r>
      <w:r w:rsidR="0036141F">
        <w:rPr>
          <w:color w:val="000000"/>
          <w:szCs w:val="22"/>
        </w:rPr>
        <w:t xml:space="preserve"> R</w:t>
      </w:r>
      <w:r w:rsidR="00734C0A">
        <w:rPr>
          <w:color w:val="000000"/>
          <w:szCs w:val="22"/>
        </w:rPr>
        <w:t>ough Draft</w:t>
      </w:r>
    </w:p>
    <w:p w14:paraId="4E3C5713" w14:textId="77777777" w:rsidR="00734C0A" w:rsidRDefault="00734C0A" w:rsidP="00734C0A">
      <w:pPr>
        <w:pStyle w:val="BodyText"/>
        <w:tabs>
          <w:tab w:val="left" w:pos="540"/>
        </w:tabs>
        <w:spacing w:line="240" w:lineRule="auto"/>
        <w:jc w:val="both"/>
        <w:rPr>
          <w:color w:val="000000"/>
          <w:szCs w:val="22"/>
        </w:rPr>
      </w:pPr>
      <w:r>
        <w:rPr>
          <w:color w:val="000000"/>
          <w:szCs w:val="22"/>
        </w:rPr>
        <w:t>Week #</w:t>
      </w:r>
      <w:r w:rsidR="0036141F">
        <w:rPr>
          <w:color w:val="000000"/>
          <w:szCs w:val="22"/>
        </w:rPr>
        <w:t>15</w:t>
      </w:r>
      <w:r w:rsidR="0036141F">
        <w:rPr>
          <w:color w:val="000000"/>
          <w:szCs w:val="22"/>
        </w:rPr>
        <w:tab/>
        <w:t xml:space="preserve">         </w:t>
      </w:r>
      <w:r w:rsidR="0036141F">
        <w:rPr>
          <w:color w:val="000000"/>
          <w:szCs w:val="22"/>
        </w:rPr>
        <w:tab/>
      </w:r>
      <w:r w:rsidR="0036141F">
        <w:rPr>
          <w:color w:val="000000"/>
          <w:szCs w:val="22"/>
        </w:rPr>
        <w:tab/>
        <w:t xml:space="preserve">      </w:t>
      </w:r>
      <w:r w:rsidR="002C1974">
        <w:rPr>
          <w:color w:val="000000"/>
          <w:szCs w:val="22"/>
        </w:rPr>
        <w:t>Individual Meetings</w:t>
      </w:r>
      <w:r w:rsidR="000375AF">
        <w:rPr>
          <w:color w:val="000000"/>
          <w:szCs w:val="22"/>
        </w:rPr>
        <w:t xml:space="preserve"> via Zoom</w:t>
      </w:r>
      <w:r w:rsidR="002C1974">
        <w:rPr>
          <w:color w:val="000000"/>
          <w:szCs w:val="22"/>
        </w:rPr>
        <w:t xml:space="preserve"> – Rough Draft review</w:t>
      </w:r>
    </w:p>
    <w:p w14:paraId="7BE5632B" w14:textId="77777777" w:rsidR="00734C0A" w:rsidRDefault="00734C0A" w:rsidP="00734C0A">
      <w:pPr>
        <w:pStyle w:val="BodyText"/>
        <w:tabs>
          <w:tab w:val="left" w:pos="540"/>
        </w:tabs>
        <w:spacing w:line="240" w:lineRule="auto"/>
        <w:ind w:left="1418" w:hanging="1418"/>
        <w:jc w:val="both"/>
        <w:rPr>
          <w:color w:val="000000"/>
          <w:szCs w:val="22"/>
        </w:rPr>
      </w:pPr>
      <w:r>
        <w:rPr>
          <w:color w:val="000000"/>
          <w:szCs w:val="22"/>
        </w:rPr>
        <w:t>Week #16</w:t>
      </w:r>
      <w:r>
        <w:rPr>
          <w:color w:val="000000"/>
          <w:szCs w:val="22"/>
        </w:rPr>
        <w:tab/>
      </w:r>
      <w:r>
        <w:rPr>
          <w:color w:val="000000"/>
          <w:szCs w:val="22"/>
        </w:rPr>
        <w:tab/>
      </w:r>
      <w:r>
        <w:rPr>
          <w:color w:val="000000"/>
          <w:szCs w:val="22"/>
        </w:rPr>
        <w:tab/>
        <w:t xml:space="preserve">      </w:t>
      </w:r>
      <w:r>
        <w:rPr>
          <w:b/>
          <w:color w:val="000000"/>
          <w:szCs w:val="22"/>
        </w:rPr>
        <w:t>Final Project Due by 6:00 p.m.</w:t>
      </w:r>
    </w:p>
    <w:p w14:paraId="2A1A5EB6" w14:textId="77777777" w:rsidR="00734C0A" w:rsidRDefault="00734C0A" w:rsidP="00EE20BB">
      <w:pPr>
        <w:pStyle w:val="BodyText"/>
        <w:tabs>
          <w:tab w:val="left" w:pos="540"/>
        </w:tabs>
        <w:spacing w:after="0" w:line="240" w:lineRule="auto"/>
        <w:ind w:left="1418" w:hanging="1411"/>
        <w:rPr>
          <w:color w:val="000000"/>
          <w:szCs w:val="22"/>
        </w:rPr>
      </w:pPr>
      <w:r>
        <w:rPr>
          <w:color w:val="000000"/>
          <w:szCs w:val="22"/>
        </w:rPr>
        <w:tab/>
      </w:r>
      <w:r>
        <w:rPr>
          <w:color w:val="000000"/>
          <w:szCs w:val="22"/>
        </w:rPr>
        <w:tab/>
        <w:t xml:space="preserve">      </w:t>
      </w:r>
      <w:r>
        <w:rPr>
          <w:color w:val="000000"/>
          <w:szCs w:val="22"/>
        </w:rPr>
        <w:tab/>
      </w:r>
      <w:r>
        <w:rPr>
          <w:color w:val="000000"/>
          <w:szCs w:val="22"/>
        </w:rPr>
        <w:tab/>
        <w:t xml:space="preserve">      Delivered by e-mail to Instructor </w:t>
      </w:r>
      <w:r w:rsidR="009D13B8">
        <w:rPr>
          <w:color w:val="000000"/>
          <w:szCs w:val="22"/>
        </w:rPr>
        <w:t>in Word format.</w:t>
      </w:r>
    </w:p>
    <w:p w14:paraId="50B029C8" w14:textId="77777777" w:rsidR="009D13B8" w:rsidRDefault="009D13B8" w:rsidP="00EE20BB">
      <w:pPr>
        <w:pStyle w:val="BodyText"/>
        <w:tabs>
          <w:tab w:val="left" w:pos="540"/>
        </w:tabs>
        <w:spacing w:after="0" w:line="240" w:lineRule="auto"/>
        <w:ind w:left="1418" w:hanging="1411"/>
        <w:rPr>
          <w:color w:val="000000"/>
          <w:szCs w:val="22"/>
        </w:rPr>
      </w:pPr>
    </w:p>
    <w:p w14:paraId="113FCA4E" w14:textId="77777777" w:rsidR="00BC1C17" w:rsidRPr="008E0355" w:rsidRDefault="00BC1C17">
      <w:pPr>
        <w:pStyle w:val="BodyText"/>
        <w:tabs>
          <w:tab w:val="left" w:pos="540"/>
        </w:tabs>
        <w:spacing w:line="240" w:lineRule="auto"/>
        <w:jc w:val="both"/>
        <w:rPr>
          <w:color w:val="000000"/>
          <w:szCs w:val="22"/>
        </w:rPr>
      </w:pPr>
    </w:p>
    <w:sectPr w:rsidR="00BC1C17" w:rsidRPr="008E035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4DB3" w14:textId="77777777" w:rsidR="00285069" w:rsidRDefault="00285069">
      <w:pPr>
        <w:spacing w:after="0" w:line="240" w:lineRule="auto"/>
      </w:pPr>
      <w:r>
        <w:separator/>
      </w:r>
    </w:p>
  </w:endnote>
  <w:endnote w:type="continuationSeparator" w:id="0">
    <w:p w14:paraId="1F09CE5D" w14:textId="77777777" w:rsidR="00285069" w:rsidRDefault="0028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6012" w14:textId="579CC38C" w:rsidR="009C24D5" w:rsidRDefault="00C75E7A">
    <w:pPr>
      <w:pStyle w:val="Footer"/>
    </w:pPr>
    <w:r>
      <w:rPr>
        <w:noProof/>
      </w:rPr>
      <mc:AlternateContent>
        <mc:Choice Requires="wps">
          <w:drawing>
            <wp:anchor distT="0" distB="0" distL="0" distR="0" simplePos="0" relativeHeight="251657728" behindDoc="0" locked="0" layoutInCell="1" allowOverlap="1" wp14:anchorId="224D78BD" wp14:editId="209D8FA7">
              <wp:simplePos x="0" y="0"/>
              <wp:positionH relativeFrom="column">
                <wp:align>center</wp:align>
              </wp:positionH>
              <wp:positionV relativeFrom="paragraph">
                <wp:posOffset>635</wp:posOffset>
              </wp:positionV>
              <wp:extent cx="79375" cy="153035"/>
              <wp:effectExtent l="7620" t="1905" r="8255" b="6985"/>
              <wp:wrapSquare wrapText="largest"/>
              <wp:docPr id="20598358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53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DA8C7" w14:textId="77777777" w:rsidR="009C24D5" w:rsidRDefault="009C24D5">
                          <w:pPr>
                            <w:pStyle w:val="Footer"/>
                          </w:pPr>
                          <w:r>
                            <w:rPr>
                              <w:rStyle w:val="PageNumber"/>
                            </w:rPr>
                            <w:fldChar w:fldCharType="begin"/>
                          </w:r>
                          <w:r>
                            <w:rPr>
                              <w:rStyle w:val="PageNumber"/>
                            </w:rPr>
                            <w:instrText xml:space="preserve"> PAGE </w:instrText>
                          </w:r>
                          <w:r>
                            <w:rPr>
                              <w:rStyle w:val="PageNumber"/>
                            </w:rPr>
                            <w:fldChar w:fldCharType="separate"/>
                          </w:r>
                          <w:r w:rsidR="00696C9C">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D78BD" id="_x0000_t202" coordsize="21600,21600" o:spt="202" path="m,l,21600r21600,l21600,xe">
              <v:stroke joinstyle="miter"/>
              <v:path gradientshapeok="t" o:connecttype="rect"/>
            </v:shapetype>
            <v:shape id="Text Box 1" o:spid="_x0000_s1026" type="#_x0000_t202" style="position:absolute;margin-left:0;margin-top:.05pt;width:6.25pt;height:12.05pt;z-index:251657728;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" stroked="f">
              <v:fill opacity="0"/>
              <v:textbox inset="0,0,0,0">
                <w:txbxContent>
                  <w:p w14:paraId="111DA8C7" w14:textId="77777777" w:rsidR="009C24D5" w:rsidRDefault="009C24D5">
                    <w:pPr>
                      <w:pStyle w:val="Footer"/>
                    </w:pPr>
                    <w:r>
                      <w:rPr>
                        <w:rStyle w:val="PageNumber"/>
                      </w:rPr>
                      <w:fldChar w:fldCharType="begin"/>
                    </w:r>
                    <w:r>
                      <w:rPr>
                        <w:rStyle w:val="PageNumber"/>
                      </w:rPr>
                      <w:instrText xml:space="preserve"> PAGE </w:instrText>
                    </w:r>
                    <w:r>
                      <w:rPr>
                        <w:rStyle w:val="PageNumber"/>
                      </w:rPr>
                      <w:fldChar w:fldCharType="separate"/>
                    </w:r>
                    <w:r w:rsidR="00696C9C">
                      <w:rPr>
                        <w:rStyle w:val="PageNumber"/>
                        <w:noProof/>
                      </w:rPr>
                      <w:t>1</w:t>
                    </w:r>
                    <w:r>
                      <w:rPr>
                        <w:rStyle w:val="PageNumber"/>
                      </w:rPr>
                      <w:fldChar w:fldCharType="end"/>
                    </w:r>
                  </w:p>
                </w:txbxContent>
              </v:textbox>
              <w10:wrap type="square" side="larges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6012" w14:textId="77777777" w:rsidR="00285069" w:rsidRDefault="00285069">
      <w:pPr>
        <w:spacing w:after="0" w:line="240" w:lineRule="auto"/>
      </w:pPr>
      <w:r>
        <w:separator/>
      </w:r>
    </w:p>
  </w:footnote>
  <w:footnote w:type="continuationSeparator" w:id="0">
    <w:p w14:paraId="44BCF475" w14:textId="77777777" w:rsidR="00285069" w:rsidRDefault="002850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u0m6A09Qot0R8pOsuwkYnHqGLbG+cXvmAw8BNNTQ6YzgR3sHX9DeTs45egjNAg+W4qSVsn2h/l2ZTPekodt8Hg==" w:salt="GL2BMnT8nSEe2oLQhBRNOw=="/>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E0"/>
    <w:rsid w:val="000375AF"/>
    <w:rsid w:val="000549F1"/>
    <w:rsid w:val="000658F1"/>
    <w:rsid w:val="00070167"/>
    <w:rsid w:val="0008780E"/>
    <w:rsid w:val="000F07F3"/>
    <w:rsid w:val="0010571E"/>
    <w:rsid w:val="00112789"/>
    <w:rsid w:val="00136817"/>
    <w:rsid w:val="00161DD7"/>
    <w:rsid w:val="00165055"/>
    <w:rsid w:val="00186056"/>
    <w:rsid w:val="001B5AFA"/>
    <w:rsid w:val="001C3D0B"/>
    <w:rsid w:val="001D147A"/>
    <w:rsid w:val="001E2BBF"/>
    <w:rsid w:val="001F70E0"/>
    <w:rsid w:val="0021249C"/>
    <w:rsid w:val="002155D0"/>
    <w:rsid w:val="00232C26"/>
    <w:rsid w:val="00234DD2"/>
    <w:rsid w:val="00236B13"/>
    <w:rsid w:val="00285069"/>
    <w:rsid w:val="002A396D"/>
    <w:rsid w:val="002B3BFD"/>
    <w:rsid w:val="002C1974"/>
    <w:rsid w:val="002E3892"/>
    <w:rsid w:val="00322413"/>
    <w:rsid w:val="00343818"/>
    <w:rsid w:val="0036141F"/>
    <w:rsid w:val="00366401"/>
    <w:rsid w:val="003A02B3"/>
    <w:rsid w:val="003B721A"/>
    <w:rsid w:val="0043031B"/>
    <w:rsid w:val="00440124"/>
    <w:rsid w:val="00480920"/>
    <w:rsid w:val="00497898"/>
    <w:rsid w:val="004A3F4D"/>
    <w:rsid w:val="004F0579"/>
    <w:rsid w:val="005B3F59"/>
    <w:rsid w:val="00600F47"/>
    <w:rsid w:val="00655D66"/>
    <w:rsid w:val="0066002F"/>
    <w:rsid w:val="00696C9C"/>
    <w:rsid w:val="00734C0A"/>
    <w:rsid w:val="00747CC8"/>
    <w:rsid w:val="00762D52"/>
    <w:rsid w:val="00766956"/>
    <w:rsid w:val="007A2CA8"/>
    <w:rsid w:val="007A7D65"/>
    <w:rsid w:val="007A7F81"/>
    <w:rsid w:val="007B483F"/>
    <w:rsid w:val="007E28FA"/>
    <w:rsid w:val="00815EFF"/>
    <w:rsid w:val="008227A2"/>
    <w:rsid w:val="0085602B"/>
    <w:rsid w:val="00856E9A"/>
    <w:rsid w:val="00864555"/>
    <w:rsid w:val="008C319A"/>
    <w:rsid w:val="008C3D54"/>
    <w:rsid w:val="008E0355"/>
    <w:rsid w:val="00956220"/>
    <w:rsid w:val="00971FB4"/>
    <w:rsid w:val="00974AEB"/>
    <w:rsid w:val="00994FCE"/>
    <w:rsid w:val="009C24D5"/>
    <w:rsid w:val="009C4B41"/>
    <w:rsid w:val="009D13B8"/>
    <w:rsid w:val="00A04FA3"/>
    <w:rsid w:val="00A5768B"/>
    <w:rsid w:val="00A61B40"/>
    <w:rsid w:val="00A86AC5"/>
    <w:rsid w:val="00A94F30"/>
    <w:rsid w:val="00AB70A9"/>
    <w:rsid w:val="00AD48DB"/>
    <w:rsid w:val="00AD6F42"/>
    <w:rsid w:val="00AE0AC3"/>
    <w:rsid w:val="00AE4D3B"/>
    <w:rsid w:val="00B07AE6"/>
    <w:rsid w:val="00BC1C17"/>
    <w:rsid w:val="00C12F00"/>
    <w:rsid w:val="00C275FF"/>
    <w:rsid w:val="00C547CE"/>
    <w:rsid w:val="00C65891"/>
    <w:rsid w:val="00C75E7A"/>
    <w:rsid w:val="00C820DC"/>
    <w:rsid w:val="00CA18E9"/>
    <w:rsid w:val="00CE3085"/>
    <w:rsid w:val="00D2676A"/>
    <w:rsid w:val="00D81BC0"/>
    <w:rsid w:val="00D8304F"/>
    <w:rsid w:val="00E25969"/>
    <w:rsid w:val="00E7096A"/>
    <w:rsid w:val="00E91643"/>
    <w:rsid w:val="00EC5269"/>
    <w:rsid w:val="00EE20BB"/>
    <w:rsid w:val="00EE304C"/>
    <w:rsid w:val="00EF52D3"/>
    <w:rsid w:val="00F04A38"/>
    <w:rsid w:val="00F25EC3"/>
    <w:rsid w:val="00F52726"/>
    <w:rsid w:val="00F700E3"/>
    <w:rsid w:val="00FC0E7A"/>
    <w:rsid w:val="00FD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7D71EBDC"/>
  <w15:chartTrackingRefBased/>
  <w15:docId w15:val="{D9CC9677-1129-408C-B88E-77CC78BB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cs="Calibri"/>
      <w:kern w:val="1"/>
      <w:sz w:val="22"/>
      <w:lang w:eastAsia="hi-IN" w:bidi="hi-IN"/>
    </w:rPr>
  </w:style>
  <w:style w:type="paragraph" w:styleId="Heading1">
    <w:name w:val="heading 1"/>
    <w:basedOn w:val="Normal"/>
    <w:next w:val="BodyText"/>
    <w:qFormat/>
    <w:pPr>
      <w:outlineLvl w:val="0"/>
    </w:pPr>
  </w:style>
  <w:style w:type="paragraph" w:styleId="Heading3">
    <w:name w:val="heading 3"/>
    <w:basedOn w:val="Heading"/>
    <w:next w:val="BodyText"/>
    <w:qFormat/>
    <w:pP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styleId="DefaultParagraphFont0">
    <w:name w:val="Default Paragraph Font"/>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DefaultParagraphFont">
    <w:name w:val="WW-Default Paragraph Font"/>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DefaultParagraphFont1">
    <w:name w:val="WW-Default Paragraph Font1"/>
  </w:style>
  <w:style w:type="character" w:customStyle="1" w:styleId="Heading1Char">
    <w:name w:val="Heading 1 Char"/>
    <w:rPr>
      <w:rFonts w:ascii="Times New Roman" w:hAnsi="Times New Roman" w:cs="Times New Roman"/>
      <w:b/>
      <w:kern w:val="1"/>
      <w:sz w:val="48"/>
    </w:rPr>
  </w:style>
  <w:style w:type="character" w:customStyle="1" w:styleId="ListLabel1">
    <w:name w:val="ListLabel 1"/>
    <w:rPr>
      <w:sz w:val="27"/>
    </w:rPr>
  </w:style>
  <w:style w:type="character" w:styleId="Hyperlink">
    <w:name w:val="Hyperlink"/>
    <w:rPr>
      <w:color w:val="000080"/>
      <w:u w:val="single"/>
      <w:lang/>
    </w:rPr>
  </w:style>
  <w:style w:type="character" w:styleId="PageNumber">
    <w:name w:val="page number"/>
    <w:basedOn w:val="WW-DefaultParagraphFont1"/>
  </w:style>
  <w:style w:type="paragraph" w:customStyle="1" w:styleId="Heading">
    <w:name w:val="Heading"/>
    <w:basedOn w:val="Normal"/>
    <w:next w:val="BodyText"/>
    <w:pPr>
      <w:keepNext/>
      <w:spacing w:before="240" w:after="120"/>
    </w:pPr>
    <w:rPr>
      <w:rFonts w:ascii="Arial" w:hAnsi="Arial" w:cs="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sz w:val="24"/>
    </w:rPr>
  </w:style>
  <w:style w:type="paragraph" w:customStyle="1" w:styleId="Index">
    <w:name w:val="Index"/>
    <w:basedOn w:val="Normal"/>
    <w:pPr>
      <w:suppressLineNumbers/>
    </w:pPr>
  </w:style>
  <w:style w:type="paragraph" w:styleId="NormalWeb">
    <w:name w:val="Normal (Web)"/>
    <w:basedOn w:val="Normal"/>
    <w:uiPriority w:val="99"/>
  </w:style>
  <w:style w:type="paragraph" w:customStyle="1" w:styleId="level1">
    <w:name w:val="level1"/>
    <w:basedOn w:val="Normal"/>
  </w:style>
  <w:style w:type="paragraph" w:styleId="ListParagraph">
    <w:name w:val="List Paragraph"/>
    <w:basedOn w:val="Normal"/>
    <w:qFormat/>
    <w:pPr>
      <w:ind w:left="720"/>
    </w:pPr>
  </w:style>
  <w:style w:type="paragraph" w:customStyle="1" w:styleId="Hangingindent">
    <w:name w:val="Hanging indent"/>
    <w:basedOn w:val="BodyText"/>
    <w:pPr>
      <w:tabs>
        <w:tab w:val="left" w:pos="2268"/>
      </w:tabs>
      <w:ind w:left="567" w:hanging="283"/>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 w:type="character" w:styleId="Strong">
    <w:name w:val="Strong"/>
    <w:uiPriority w:val="22"/>
    <w:qFormat/>
    <w:rsid w:val="0008780E"/>
    <w:rPr>
      <w:b/>
      <w:bCs/>
    </w:rPr>
  </w:style>
  <w:style w:type="paragraph" w:styleId="BalloonText">
    <w:name w:val="Balloon Text"/>
    <w:basedOn w:val="Normal"/>
    <w:link w:val="BalloonTextChar"/>
    <w:uiPriority w:val="99"/>
    <w:semiHidden/>
    <w:unhideWhenUsed/>
    <w:rsid w:val="00C65891"/>
    <w:pPr>
      <w:spacing w:after="0" w:line="240" w:lineRule="auto"/>
    </w:pPr>
    <w:rPr>
      <w:rFonts w:ascii="Tahoma" w:hAnsi="Tahoma" w:cs="Mangal"/>
      <w:sz w:val="16"/>
      <w:szCs w:val="14"/>
    </w:rPr>
  </w:style>
  <w:style w:type="character" w:customStyle="1" w:styleId="BalloonTextChar">
    <w:name w:val="Balloon Text Char"/>
    <w:link w:val="BalloonText"/>
    <w:uiPriority w:val="99"/>
    <w:semiHidden/>
    <w:rsid w:val="00C65891"/>
    <w:rPr>
      <w:rFonts w:ascii="Tahoma"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2047">
      <w:bodyDiv w:val="1"/>
      <w:marLeft w:val="0"/>
      <w:marRight w:val="0"/>
      <w:marTop w:val="0"/>
      <w:marBottom w:val="0"/>
      <w:divBdr>
        <w:top w:val="none" w:sz="0" w:space="0" w:color="auto"/>
        <w:left w:val="none" w:sz="0" w:space="0" w:color="auto"/>
        <w:bottom w:val="none" w:sz="0" w:space="0" w:color="auto"/>
        <w:right w:val="none" w:sz="0" w:space="0" w:color="auto"/>
      </w:divBdr>
    </w:div>
    <w:div w:id="828908446">
      <w:bodyDiv w:val="1"/>
      <w:marLeft w:val="60"/>
      <w:marRight w:val="60"/>
      <w:marTop w:val="60"/>
      <w:marBottom w:val="15"/>
      <w:divBdr>
        <w:top w:val="none" w:sz="0" w:space="0" w:color="auto"/>
        <w:left w:val="none" w:sz="0" w:space="0" w:color="auto"/>
        <w:bottom w:val="none" w:sz="0" w:space="0" w:color="auto"/>
        <w:right w:val="none" w:sz="0" w:space="0" w:color="auto"/>
      </w:divBdr>
    </w:div>
    <w:div w:id="1516113287">
      <w:bodyDiv w:val="1"/>
      <w:marLeft w:val="0"/>
      <w:marRight w:val="0"/>
      <w:marTop w:val="0"/>
      <w:marBottom w:val="0"/>
      <w:divBdr>
        <w:top w:val="none" w:sz="0" w:space="0" w:color="auto"/>
        <w:left w:val="none" w:sz="0" w:space="0" w:color="auto"/>
        <w:bottom w:val="none" w:sz="0" w:space="0" w:color="auto"/>
        <w:right w:val="none" w:sz="0" w:space="0" w:color="auto"/>
      </w:divBdr>
    </w:div>
    <w:div w:id="1790318612">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arzial@cs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7F13D-629E-486B-80E2-703E5BD8BA74}">
  <ds:schemaRefs>
    <ds:schemaRef ds:uri="http://schemas.microsoft.com/sharepoint/v3/contenttype/forms"/>
  </ds:schemaRefs>
</ds:datastoreItem>
</file>

<file path=customXml/itemProps2.xml><?xml version="1.0" encoding="utf-8"?>
<ds:datastoreItem xmlns:ds="http://schemas.openxmlformats.org/officeDocument/2006/customXml" ds:itemID="{7FF36DB0-9FCE-46F2-BC76-AF03C122A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A73B7-F19E-4341-9693-00F598E8BA3F}">
  <ds:schemaRefs>
    <ds:schemaRef ds:uri="http://schemas.microsoft.com/office/2006/metadata/longProperties"/>
  </ds:schemaRefs>
</ds:datastoreItem>
</file>

<file path=customXml/itemProps4.xml><?xml version="1.0" encoding="utf-8"?>
<ds:datastoreItem xmlns:ds="http://schemas.openxmlformats.org/officeDocument/2006/customXml" ds:itemID="{2DA305BA-BE5E-403D-83FE-401B5E9AEE8F}">
  <ds:schemaRefs>
    <ds:schemaRef ds:uri="http://schemas.openxmlformats.org/officeDocument/2006/bibliography"/>
  </ds:schemaRefs>
</ds:datastoreItem>
</file>

<file path=customXml/itemProps5.xml><?xml version="1.0" encoding="utf-8"?>
<ds:datastoreItem xmlns:ds="http://schemas.openxmlformats.org/officeDocument/2006/customXml" ds:itemID="{78929019-8E07-4C52-9824-0AD32E98E5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1078</Words>
  <Characters>6145</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CLASS SYLLABUS – CRIMINAL PROCEDURE – LAWE 253</vt:lpstr>
    </vt:vector>
  </TitlesOfParts>
  <Company>Hewlett-Packard Company</Company>
  <LinksUpToDate>false</LinksUpToDate>
  <CharactersWithSpaces>7209</CharactersWithSpaces>
  <SharedDoc>false</SharedDoc>
  <HLinks>
    <vt:vector size="12" baseType="variant">
      <vt:variant>
        <vt:i4>5111888</vt:i4>
      </vt:variant>
      <vt:variant>
        <vt:i4>3</vt:i4>
      </vt:variant>
      <vt:variant>
        <vt:i4>0</vt:i4>
      </vt:variant>
      <vt:variant>
        <vt:i4>5</vt:i4>
      </vt:variant>
      <vt:variant>
        <vt:lpwstr>http://www.cscc.edu/</vt:lpwstr>
      </vt:variant>
      <vt:variant>
        <vt:lpwstr/>
      </vt:variant>
      <vt:variant>
        <vt:i4>3735578</vt:i4>
      </vt:variant>
      <vt:variant>
        <vt:i4>0</vt:i4>
      </vt:variant>
      <vt:variant>
        <vt:i4>0</vt:i4>
      </vt:variant>
      <vt:variant>
        <vt:i4>5</vt:i4>
      </vt:variant>
      <vt:variant>
        <vt:lpwstr>mailto:amarzial@cscc.edu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SYLLABUS – CRIMINAL PROCEDURE – LAWE 253</dc:title>
  <dc:subject/>
  <dc:creator>workstation</dc:creator>
  <cp:keywords/>
  <cp:lastModifiedBy>Jeff Akers</cp:lastModifiedBy>
  <cp:revision>3</cp:revision>
  <cp:lastPrinted>2024-01-10T20:47:00Z</cp:lastPrinted>
  <dcterms:created xsi:type="dcterms:W3CDTF">2025-11-19T16:09:00Z</dcterms:created>
  <dcterms:modified xsi:type="dcterms:W3CDTF">2025-11-19T16:10:00Z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Catherine Ritterbusch</vt:lpwstr>
  </property>
  <property fmtid="{D5CDD505-2E9C-101B-9397-08002B2CF9AE}" pid="4" name="Order">
    <vt:lpwstr>21600.0000000000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Catherine Ritterbusch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0x0101000F12488F74F0A44FAE8F0BE90EB37D6B</vt:lpwstr>
  </property>
  <property fmtid="{D5CDD505-2E9C-101B-9397-08002B2CF9AE}" pid="11" name="TriggerFlowInfo">
    <vt:lpwstr/>
  </property>
</Properties>
</file>