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27DC9E" wp14:editId="699065A3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663495A1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2076F9">
        <w:rPr>
          <w:b/>
          <w:bCs/>
        </w:rPr>
        <w:t>2776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472679">
        <w:rPr>
          <w:b/>
          <w:bCs/>
        </w:rPr>
        <w:t>Network Security Fundamentals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39DCE182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152761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152761">
        <w:rPr>
          <w:spacing w:val="-12"/>
        </w:rPr>
        <w:t xml:space="preserve">CSCI </w:t>
      </w:r>
      <w:r w:rsidR="00C25B3F">
        <w:rPr>
          <w:spacing w:val="-12"/>
        </w:rPr>
        <w:t>2752</w:t>
      </w:r>
      <w:r w:rsidR="00343C76">
        <w:rPr>
          <w:spacing w:val="-12"/>
        </w:rPr>
        <w:t xml:space="preserve"> or ITST 1123</w:t>
      </w:r>
    </w:p>
    <w:p w14:paraId="31AE8E41" w14:textId="77777777" w:rsidR="006462E0" w:rsidRPr="00233C0A" w:rsidRDefault="006462E0" w:rsidP="00233C0A"/>
    <w:p w14:paraId="4AE9D6F0" w14:textId="77777777" w:rsidR="00276F51" w:rsidRDefault="00D91EA6" w:rsidP="001B15B0">
      <w:pPr>
        <w:pStyle w:val="BodyText"/>
        <w:ind w:hanging="258"/>
      </w:pPr>
      <w:r w:rsidRPr="00233C0A">
        <w:t xml:space="preserve">DESCRIPTION OF COURSE </w:t>
      </w:r>
    </w:p>
    <w:p w14:paraId="3AC566B0" w14:textId="77777777" w:rsidR="001B15B0" w:rsidRPr="008D3FFB" w:rsidRDefault="001B15B0" w:rsidP="001B15B0">
      <w:pPr>
        <w:spacing w:after="284"/>
        <w:ind w:left="103" w:right="85"/>
      </w:pPr>
      <w:r w:rsidRPr="008D3FFB">
        <w:t xml:space="preserve">CSCI 2776 is designed to introduce information security theory and practice in areas of cryptography, security architecture, firewalls, VPNs, IP Security and governance. Intranet / Internet security vulnerabilities and methods of protection will be introduced. Students will apply and demonstrate hands-on knowledge of common attacks and threat vectors, cryptography, detective controls and appropriate countermeasures. </w:t>
      </w:r>
    </w:p>
    <w:p w14:paraId="3A6013CB" w14:textId="03A10415" w:rsidR="00152761" w:rsidRPr="00F4635A" w:rsidRDefault="00D91EA6" w:rsidP="00F4635A">
      <w:pPr>
        <w:pStyle w:val="BodyText"/>
        <w:spacing w:line="242" w:lineRule="auto"/>
        <w:ind w:right="107"/>
      </w:pPr>
      <w:r w:rsidRPr="00F4635A">
        <w:t xml:space="preserve">COURSE STUDENT LEARNING OUTCOMES </w:t>
      </w:r>
      <w:r w:rsidR="00152761" w:rsidRPr="00F4635A">
        <w:t xml:space="preserve">Upon successful completion of this course, the student </w:t>
      </w:r>
      <w:r w:rsidR="0079253B" w:rsidRPr="00F4635A">
        <w:t>s</w:t>
      </w:r>
      <w:r w:rsidR="00152761" w:rsidRPr="00F4635A">
        <w:t>hould be able to:</w:t>
      </w:r>
    </w:p>
    <w:p w14:paraId="31AE8E48" w14:textId="01B82B11" w:rsidR="006462E0" w:rsidRPr="00233C0A" w:rsidRDefault="006462E0" w:rsidP="00233C0A"/>
    <w:p w14:paraId="501AB58A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Define information security and explain its principles</w:t>
      </w:r>
    </w:p>
    <w:p w14:paraId="2BB35F9A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Identity threat actors, their motivations, how attacks occur and the impact of attacks</w:t>
      </w:r>
    </w:p>
    <w:p w14:paraId="1B676313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Define social engineering and list types of attacks and types of physical defenses</w:t>
      </w:r>
    </w:p>
    <w:p w14:paraId="6850985B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Describe controls for protecting data</w:t>
      </w:r>
    </w:p>
    <w:p w14:paraId="76F1CDB2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Define cryptography and describe hash, symmetric, and asymmetric cryptographic algorithms.</w:t>
      </w:r>
    </w:p>
    <w:p w14:paraId="356D226C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List ways in which cryptography is used and explain different cryptographic limitations and attacks</w:t>
      </w:r>
    </w:p>
    <w:p w14:paraId="36CE4D58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Define digital certificates and describe the components of Public Key Infrastructure (PKI)</w:t>
      </w:r>
    </w:p>
    <w:p w14:paraId="237A0715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List the secure communication and transport protocols and explain how to implement cryptography</w:t>
      </w:r>
    </w:p>
    <w:p w14:paraId="1B6E6981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Identify types of attacks using malware and describe attacks based on application vulnerabilities</w:t>
      </w:r>
    </w:p>
    <w:p w14:paraId="75D2282A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Explain the steps of securing endpoint devices</w:t>
      </w:r>
    </w:p>
    <w:p w14:paraId="1A5BDD34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List and compare the different types of mobile devices/risks and explain how to secure mobile devices</w:t>
      </w:r>
    </w:p>
    <w:p w14:paraId="5141D6CD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Describe vulnerabilities/security of embedded/specialized devices and potential protections</w:t>
      </w:r>
    </w:p>
    <w:p w14:paraId="65DA582D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 xml:space="preserve">Explain how application security can provide </w:t>
      </w:r>
      <w:proofErr w:type="gramStart"/>
      <w:r w:rsidRPr="00982E8B">
        <w:rPr>
          <w:sz w:val="24"/>
        </w:rPr>
        <w:t>protections</w:t>
      </w:r>
      <w:proofErr w:type="gramEnd"/>
    </w:p>
    <w:p w14:paraId="0475B129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Describe different types of authentication credentials and list authentication best practices</w:t>
      </w:r>
    </w:p>
    <w:p w14:paraId="321A1A35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Define access controls and explain how they can be used.</w:t>
      </w:r>
    </w:p>
    <w:p w14:paraId="2E6C3274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Describe different types of attacks on networks and how to perform security monitoring and alerting</w:t>
      </w:r>
    </w:p>
    <w:p w14:paraId="07D865C2" w14:textId="77777777" w:rsidR="00A83D17" w:rsidRPr="00982E8B" w:rsidRDefault="00A83D17" w:rsidP="008004F3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066" w:hanging="359"/>
        <w:rPr>
          <w:sz w:val="24"/>
        </w:rPr>
      </w:pPr>
      <w:r w:rsidRPr="00982E8B">
        <w:rPr>
          <w:sz w:val="24"/>
        </w:rPr>
        <w:t>List and describe different email defenses</w:t>
      </w:r>
    </w:p>
    <w:p w14:paraId="2BA24611" w14:textId="77777777" w:rsidR="0079253B" w:rsidRDefault="0079253B" w:rsidP="008004F3"/>
    <w:p w14:paraId="69C8E79E" w14:textId="77777777" w:rsidR="00861853" w:rsidRPr="00F4635A" w:rsidRDefault="00861853" w:rsidP="00F4635A">
      <w:pPr>
        <w:pStyle w:val="BodyText"/>
        <w:spacing w:line="242" w:lineRule="auto"/>
        <w:ind w:right="107"/>
      </w:pPr>
      <w:r w:rsidRPr="00F4635A">
        <w:t xml:space="preserve">TOPIC COVERAGE FOR CYBERSECURITY INCLUDES:  </w:t>
      </w:r>
    </w:p>
    <w:p w14:paraId="5B6A8CFC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 xml:space="preserve">Introduction to Information Security </w:t>
      </w:r>
    </w:p>
    <w:p w14:paraId="21AF91AA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 xml:space="preserve">Pervasive Attack Surfaces and Controls </w:t>
      </w:r>
    </w:p>
    <w:p w14:paraId="6773F2BC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 xml:space="preserve">Fundamentals of Cryptography </w:t>
      </w:r>
    </w:p>
    <w:p w14:paraId="6633F72D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>Advanced Cryptography and PKI</w:t>
      </w:r>
    </w:p>
    <w:p w14:paraId="729E743A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 xml:space="preserve">Endpoint Vulnerabilities, Attacks, and Defenses </w:t>
      </w:r>
    </w:p>
    <w:p w14:paraId="43DDD114" w14:textId="77777777" w:rsidR="00861853" w:rsidRPr="00866BFA" w:rsidRDefault="00861853" w:rsidP="00866BFA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866BFA">
        <w:rPr>
          <w:sz w:val="24"/>
        </w:rPr>
        <w:t xml:space="preserve">Mobile and Embedded Device Security </w:t>
      </w:r>
    </w:p>
    <w:p w14:paraId="2FAAB76C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lastRenderedPageBreak/>
        <w:t>Identity and Access Management (IAM)</w:t>
      </w:r>
    </w:p>
    <w:p w14:paraId="434B64D4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 xml:space="preserve">Infrastructure Threats and Security Monitoring </w:t>
      </w:r>
    </w:p>
    <w:p w14:paraId="3E67F481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Infrastructure Security</w:t>
      </w:r>
    </w:p>
    <w:p w14:paraId="351BCA63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Wireless Network Attacks and Defenses</w:t>
      </w:r>
    </w:p>
    <w:p w14:paraId="0630036C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Cloud and Virtualization Security</w:t>
      </w:r>
    </w:p>
    <w:p w14:paraId="7AFFF656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Vulnerability Management</w:t>
      </w:r>
    </w:p>
    <w:p w14:paraId="489A329C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Incident Preparation and Investigation</w:t>
      </w:r>
    </w:p>
    <w:p w14:paraId="5E945DC4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Oversight and Operations</w:t>
      </w:r>
    </w:p>
    <w:p w14:paraId="7CDE12E6" w14:textId="77777777" w:rsidR="00861853" w:rsidRPr="0026094C" w:rsidRDefault="00861853" w:rsidP="0026094C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26094C">
        <w:rPr>
          <w:sz w:val="24"/>
        </w:rPr>
        <w:t>Information Security Management</w:t>
      </w:r>
    </w:p>
    <w:p w14:paraId="6E87F491" w14:textId="77777777" w:rsidR="00861853" w:rsidRDefault="00861853" w:rsidP="00861853">
      <w:pPr>
        <w:pStyle w:val="Heading1"/>
        <w:ind w:left="0"/>
        <w:rPr>
          <w:color w:val="auto"/>
        </w:rPr>
      </w:pPr>
    </w:p>
    <w:p w14:paraId="6F58F71C" w14:textId="1D644B1C" w:rsidR="00152761" w:rsidRDefault="00D91EA6" w:rsidP="00152761">
      <w:pPr>
        <w:pStyle w:val="BodyText"/>
        <w:spacing w:line="242" w:lineRule="auto"/>
        <w:ind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7E388AB1" w14:textId="77777777" w:rsidR="0038272C" w:rsidRPr="0038272C" w:rsidRDefault="0038272C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Critical Thinking</w:t>
      </w:r>
    </w:p>
    <w:p w14:paraId="5A2D98FE" w14:textId="77777777" w:rsidR="0038272C" w:rsidRPr="0038272C" w:rsidRDefault="0038272C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Quantitative Literacy</w:t>
      </w:r>
    </w:p>
    <w:p w14:paraId="2253294F" w14:textId="77777777" w:rsidR="0038272C" w:rsidRPr="0038272C" w:rsidRDefault="0038272C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Scientific and Technological Effectiveness</w:t>
      </w:r>
    </w:p>
    <w:p w14:paraId="6B6477CA" w14:textId="77777777" w:rsidR="0038272C" w:rsidRPr="0038272C" w:rsidRDefault="0038272C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Information Literacy</w:t>
      </w:r>
    </w:p>
    <w:p w14:paraId="31AE8E4D" w14:textId="2A47989C" w:rsidR="006462E0" w:rsidRPr="00233C0A" w:rsidRDefault="006462E0" w:rsidP="00152761"/>
    <w:p w14:paraId="31AE8E4F" w14:textId="37CA6D82" w:rsidR="006462E0" w:rsidRPr="00233C0A" w:rsidRDefault="00D91EA6" w:rsidP="00900B28">
      <w:pPr>
        <w:pStyle w:val="BodyText"/>
        <w:spacing w:line="242" w:lineRule="auto"/>
        <w:ind w:right="107"/>
      </w:pPr>
      <w:r w:rsidRPr="0067368A">
        <w:t xml:space="preserve">OUTCOMES BASED ASSESSMENT OF STUDENT LEARNING </w:t>
      </w:r>
      <w:r w:rsidRPr="00233C0A">
        <w:t>For this course, students are expected to demonstrate the skills associated with the Institutional Learning Goals (ILG) identified below:</w:t>
      </w:r>
    </w:p>
    <w:p w14:paraId="2ACFD2A1" w14:textId="77777777" w:rsidR="001175C0" w:rsidRPr="0038272C" w:rsidRDefault="001175C0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Critical Thinking</w:t>
      </w:r>
    </w:p>
    <w:p w14:paraId="01D038DF" w14:textId="77777777" w:rsidR="001175C0" w:rsidRPr="0038272C" w:rsidRDefault="001175C0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Quantitative Literacy</w:t>
      </w:r>
    </w:p>
    <w:p w14:paraId="2C2266FB" w14:textId="77777777" w:rsidR="001175C0" w:rsidRPr="0038272C" w:rsidRDefault="001175C0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Scientific and Technological Effectiveness</w:t>
      </w:r>
    </w:p>
    <w:p w14:paraId="3ED565DB" w14:textId="77777777" w:rsidR="001175C0" w:rsidRPr="0038272C" w:rsidRDefault="001175C0" w:rsidP="001175C0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 w:rsidRPr="0038272C">
        <w:rPr>
          <w:sz w:val="24"/>
        </w:rPr>
        <w:t>Information Literacy</w:t>
      </w:r>
    </w:p>
    <w:p w14:paraId="00FF3F8B" w14:textId="77777777" w:rsidR="00152761" w:rsidRDefault="00152761" w:rsidP="00233C0A"/>
    <w:p w14:paraId="31AE8E51" w14:textId="1241CA6C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31AE8E55" w14:textId="263BA1EC" w:rsidR="006462E0" w:rsidRPr="00233C0A" w:rsidRDefault="00C1237B" w:rsidP="00233C0A">
      <w:r w:rsidRPr="00A9221A">
        <w:t xml:space="preserve">Regular access to a PC or laptop and adequate bandwidth for the Internet...note requirements for Blackboard access - </w:t>
      </w:r>
      <w:hyperlink r:id="rId11" w:history="1">
        <w:r w:rsidRPr="006E6427">
          <w:rPr>
            <w:rStyle w:val="Hyperlink"/>
          </w:rPr>
          <w:t>https://www.cscc.edu/academics/online-learning/technical-requirements.shtml</w:t>
        </w:r>
      </w:hyperlink>
    </w:p>
    <w:p w14:paraId="592D409F" w14:textId="77777777" w:rsidR="008166E8" w:rsidRDefault="008166E8" w:rsidP="00233C0A">
      <w:pPr>
        <w:rPr>
          <w:b/>
          <w:bCs/>
        </w:rPr>
      </w:pPr>
    </w:p>
    <w:p w14:paraId="31AE8E57" w14:textId="2AB4124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20E171FE" w14:textId="2D124152" w:rsidR="00A71FB6" w:rsidRPr="00A71FB6" w:rsidRDefault="00A71FB6" w:rsidP="00A71FB6">
      <w:pPr>
        <w:pStyle w:val="BodyText"/>
        <w:spacing w:before="1"/>
        <w:rPr>
          <w:b w:val="0"/>
          <w:bCs w:val="0"/>
          <w:i/>
          <w:szCs w:val="22"/>
        </w:rPr>
      </w:pPr>
      <w:r w:rsidRPr="00A71FB6">
        <w:rPr>
          <w:b w:val="0"/>
          <w:bCs w:val="0"/>
          <w:i/>
          <w:szCs w:val="22"/>
        </w:rPr>
        <w:t>Textbook: Ciampa, M. (2024). CompTIA Security+ Guide to Network Security Fundamentals (8th ed.). Cengage Learning US. https://bookshelf.vitalsource.com/books/9798214000749</w:t>
      </w:r>
    </w:p>
    <w:p w14:paraId="03DEECED" w14:textId="77777777" w:rsidR="00A71FB6" w:rsidRPr="00A71FB6" w:rsidRDefault="00A71FB6" w:rsidP="00A71FB6">
      <w:pPr>
        <w:pStyle w:val="BodyText"/>
        <w:spacing w:before="1"/>
        <w:rPr>
          <w:b w:val="0"/>
          <w:bCs w:val="0"/>
          <w:i/>
          <w:szCs w:val="22"/>
        </w:rPr>
      </w:pPr>
      <w:r w:rsidRPr="00A71FB6">
        <w:rPr>
          <w:b w:val="0"/>
          <w:bCs w:val="0"/>
          <w:i/>
          <w:szCs w:val="22"/>
        </w:rPr>
        <w:t xml:space="preserve"> Supplemental material will be provided throughout the course.  SY0-701 Certificate Preparation.</w:t>
      </w:r>
    </w:p>
    <w:p w14:paraId="33E1831B" w14:textId="77777777" w:rsidR="00FF21F1" w:rsidRDefault="00FF21F1" w:rsidP="00A71FB6">
      <w:pPr>
        <w:pStyle w:val="BodyText"/>
        <w:spacing w:before="1"/>
        <w:rPr>
          <w:b w:val="0"/>
          <w:bCs w:val="0"/>
          <w:i/>
          <w:szCs w:val="22"/>
        </w:rPr>
      </w:pPr>
    </w:p>
    <w:p w14:paraId="495184D1" w14:textId="77777777" w:rsidR="00746CD5" w:rsidRPr="008D3FFB" w:rsidRDefault="00746CD5" w:rsidP="00746CD5">
      <w:pPr>
        <w:pStyle w:val="Heading1"/>
        <w:spacing w:after="261"/>
        <w:ind w:left="103"/>
        <w:rPr>
          <w:color w:val="auto"/>
        </w:rPr>
      </w:pPr>
      <w:r w:rsidRPr="008D3FFB">
        <w:rPr>
          <w:color w:val="auto"/>
        </w:rPr>
        <w:t xml:space="preserve">GENERAL INSTRUCTIONAL METHODS </w:t>
      </w:r>
    </w:p>
    <w:p w14:paraId="57612442" w14:textId="533D99F0" w:rsidR="00746CD5" w:rsidRPr="008D3FFB" w:rsidRDefault="00746CD5" w:rsidP="00746CD5">
      <w:pPr>
        <w:tabs>
          <w:tab w:val="center" w:pos="1218"/>
          <w:tab w:val="center" w:pos="5431"/>
        </w:tabs>
        <w:spacing w:after="10"/>
      </w:pPr>
      <w:r w:rsidRPr="008D3FFB">
        <w:tab/>
      </w:r>
      <w:r w:rsidR="0059130A">
        <w:t xml:space="preserve">               </w:t>
      </w:r>
      <w:r w:rsidR="00146A5C">
        <w:t xml:space="preserve"> </w:t>
      </w:r>
      <w:r w:rsidRPr="008D3FFB">
        <w:rPr>
          <w:rFonts w:ascii="Arial" w:eastAsia="Arial" w:hAnsi="Arial" w:cs="Arial"/>
        </w:rPr>
        <w:t xml:space="preserve">Lecture </w:t>
      </w:r>
      <w:r w:rsidR="0059130A">
        <w:rPr>
          <w:rFonts w:ascii="Arial" w:eastAsia="Arial" w:hAnsi="Arial" w:cs="Arial"/>
        </w:rPr>
        <w:t xml:space="preserve">                                              Practice Labs</w:t>
      </w:r>
    </w:p>
    <w:p w14:paraId="44B8EC1E" w14:textId="4850A0B5" w:rsidR="00746CD5" w:rsidRPr="008D3FFB" w:rsidRDefault="00F55D9B" w:rsidP="00746CD5">
      <w:pPr>
        <w:tabs>
          <w:tab w:val="center" w:pos="2065"/>
          <w:tab w:val="center" w:pos="4852"/>
        </w:tabs>
        <w:spacing w:after="10"/>
      </w:pPr>
      <w:r>
        <w:rPr>
          <w:rFonts w:ascii="Arial" w:eastAsia="Arial" w:hAnsi="Arial" w:cs="Arial"/>
        </w:rPr>
        <w:t xml:space="preserve">             </w:t>
      </w:r>
      <w:r w:rsidR="00746CD5" w:rsidRPr="008D3FFB">
        <w:rPr>
          <w:rFonts w:ascii="Arial" w:eastAsia="Arial" w:hAnsi="Arial" w:cs="Arial"/>
        </w:rPr>
        <w:t>Classroom Discussion</w:t>
      </w:r>
      <w:r w:rsidR="00FB572C">
        <w:rPr>
          <w:rFonts w:ascii="Arial" w:eastAsia="Arial" w:hAnsi="Arial" w:cs="Arial"/>
        </w:rPr>
        <w:t xml:space="preserve">                       </w:t>
      </w:r>
      <w:r w:rsidR="006532DF">
        <w:rPr>
          <w:rFonts w:ascii="Arial" w:eastAsia="Arial" w:hAnsi="Arial" w:cs="Arial"/>
        </w:rPr>
        <w:t>Wiki</w:t>
      </w:r>
      <w:r w:rsidR="00746CD5" w:rsidRPr="008D3FFB">
        <w:rPr>
          <w:rFonts w:ascii="Arial" w:eastAsia="Arial" w:hAnsi="Arial" w:cs="Arial"/>
        </w:rPr>
        <w:t xml:space="preserve"> </w:t>
      </w:r>
      <w:r w:rsidR="00746CD5" w:rsidRPr="008D3FF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</w:t>
      </w:r>
      <w:r w:rsidR="0059130A">
        <w:rPr>
          <w:rFonts w:ascii="Arial" w:eastAsia="Arial" w:hAnsi="Arial" w:cs="Arial"/>
        </w:rPr>
        <w:t xml:space="preserve">        </w:t>
      </w:r>
    </w:p>
    <w:p w14:paraId="05470335" w14:textId="0948C8EB" w:rsidR="00746CD5" w:rsidRPr="008D3FFB" w:rsidRDefault="00F55D9B" w:rsidP="00746CD5">
      <w:pPr>
        <w:tabs>
          <w:tab w:val="center" w:pos="1658"/>
          <w:tab w:val="center" w:pos="5352"/>
        </w:tabs>
        <w:spacing w:after="583"/>
      </w:pPr>
      <w:r>
        <w:rPr>
          <w:rFonts w:ascii="Arial" w:eastAsia="Arial" w:hAnsi="Arial" w:cs="Arial"/>
        </w:rPr>
        <w:t xml:space="preserve">           </w:t>
      </w:r>
      <w:r w:rsidR="00D622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746CD5" w:rsidRPr="008D3FFB">
        <w:rPr>
          <w:rFonts w:ascii="Arial" w:eastAsia="Arial" w:hAnsi="Arial" w:cs="Arial"/>
        </w:rPr>
        <w:t xml:space="preserve">Demonstrations </w:t>
      </w:r>
      <w:r w:rsidR="00746CD5" w:rsidRPr="008D3FFB">
        <w:rPr>
          <w:rFonts w:ascii="Arial" w:eastAsia="Arial" w:hAnsi="Arial" w:cs="Arial"/>
        </w:rPr>
        <w:tab/>
        <w:t xml:space="preserve"> </w:t>
      </w:r>
    </w:p>
    <w:p w14:paraId="007A6458" w14:textId="77777777" w:rsidR="00696123" w:rsidRDefault="00696123">
      <w:pPr>
        <w:rPr>
          <w:b/>
          <w:bCs/>
        </w:rPr>
      </w:pPr>
      <w:r>
        <w:rPr>
          <w:b/>
          <w:bCs/>
        </w:rPr>
        <w:br w:type="page"/>
      </w:r>
    </w:p>
    <w:p w14:paraId="31AE8E5D" w14:textId="71C728F0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STANDARDS AND METHODS FOR EVALUATION</w:t>
      </w:r>
    </w:p>
    <w:p w14:paraId="7201C990" w14:textId="77777777" w:rsidR="00631008" w:rsidRPr="00631008" w:rsidRDefault="00631008" w:rsidP="00631008">
      <w:pPr>
        <w:widowControl/>
        <w:autoSpaceDE/>
        <w:autoSpaceDN/>
        <w:spacing w:after="15" w:line="250" w:lineRule="auto"/>
        <w:ind w:left="108" w:hanging="10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37"/>
        <w:gridCol w:w="2160"/>
      </w:tblGrid>
      <w:tr w:rsidR="00631008" w:rsidRPr="00631008" w14:paraId="44AF0C52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E9206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rPr>
                <w:b/>
              </w:rPr>
            </w:pPr>
            <w:r w:rsidRPr="00631008">
              <w:rPr>
                <w:b/>
              </w:rPr>
              <w:t>Major Categories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BBA1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rPr>
                <w:b/>
              </w:rPr>
            </w:pPr>
            <w:r w:rsidRPr="00631008">
              <w:rPr>
                <w:b/>
              </w:rPr>
              <w:t>Point Value - Total</w:t>
            </w:r>
          </w:p>
        </w:tc>
      </w:tr>
      <w:tr w:rsidR="00631008" w:rsidRPr="00631008" w14:paraId="1853B8EF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70CC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r w:rsidRPr="00631008">
              <w:t xml:space="preserve">Quizzes               </w:t>
            </w:r>
            <w:proofErr w:type="gramStart"/>
            <w:r w:rsidRPr="00631008">
              <w:t xml:space="preserve">   (</w:t>
            </w:r>
            <w:proofErr w:type="gramEnd"/>
            <w:r w:rsidRPr="00631008">
              <w:t>15 X 15 Pts)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EC4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t>225 Points</w:t>
            </w:r>
          </w:p>
        </w:tc>
      </w:tr>
      <w:tr w:rsidR="00631008" w:rsidRPr="00631008" w14:paraId="2DFA9995" w14:textId="77777777" w:rsidTr="0058308B">
        <w:trPr>
          <w:trHeight w:val="26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7998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r w:rsidRPr="00631008">
              <w:t xml:space="preserve">Labs                     </w:t>
            </w:r>
            <w:proofErr w:type="gramStart"/>
            <w:r w:rsidRPr="00631008">
              <w:t xml:space="preserve">   (</w:t>
            </w:r>
            <w:proofErr w:type="gramEnd"/>
            <w:r w:rsidRPr="00631008">
              <w:t xml:space="preserve">48 X 15 Pts)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B514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t>720 Points</w:t>
            </w:r>
          </w:p>
        </w:tc>
      </w:tr>
      <w:tr w:rsidR="00631008" w:rsidRPr="00631008" w14:paraId="35A224B6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B064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r w:rsidRPr="00631008">
              <w:t xml:space="preserve">Mid-Term           </w:t>
            </w:r>
            <w:proofErr w:type="gramStart"/>
            <w:r w:rsidRPr="00631008">
              <w:t xml:space="preserve">   (</w:t>
            </w:r>
            <w:proofErr w:type="gramEnd"/>
            <w:r w:rsidRPr="00631008">
              <w:t>1 X 105 Pts)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5D6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t>105 Points</w:t>
            </w:r>
          </w:p>
        </w:tc>
      </w:tr>
      <w:tr w:rsidR="00631008" w:rsidRPr="00631008" w14:paraId="3B68C03C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2F2A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bookmarkStart w:id="0" w:name="_Hlk61512083"/>
            <w:r w:rsidRPr="00631008">
              <w:t>SolarWinds Wiki</w:t>
            </w:r>
            <w:proofErr w:type="gramStart"/>
            <w:r w:rsidRPr="00631008">
              <w:t xml:space="preserve">   (</w:t>
            </w:r>
            <w:proofErr w:type="gramEnd"/>
            <w:r w:rsidRPr="00631008">
              <w:t>1 X 50 Pts)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17F5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t>50 Points</w:t>
            </w:r>
          </w:p>
        </w:tc>
      </w:tr>
      <w:tr w:rsidR="00631008" w:rsidRPr="00631008" w14:paraId="7B0440CE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9A69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r w:rsidRPr="00631008">
              <w:t xml:space="preserve">Final                     </w:t>
            </w:r>
            <w:proofErr w:type="gramStart"/>
            <w:r w:rsidRPr="00631008">
              <w:t xml:space="preserve">   (</w:t>
            </w:r>
            <w:proofErr w:type="gramEnd"/>
            <w:r w:rsidRPr="00631008">
              <w:t>1 X 120 Pts)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7519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t>120 Points</w:t>
            </w:r>
          </w:p>
        </w:tc>
      </w:tr>
      <w:bookmarkEnd w:id="0"/>
      <w:tr w:rsidR="00631008" w:rsidRPr="00631008" w14:paraId="6B4C6A2B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216F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both"/>
            </w:pPr>
            <w:r w:rsidRPr="00631008">
              <w:rPr>
                <w:b/>
              </w:rPr>
              <w:t>TOTAL: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03D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</w:pPr>
            <w:r w:rsidRPr="00631008">
              <w:rPr>
                <w:b/>
              </w:rPr>
              <w:t>1220 Points</w:t>
            </w:r>
          </w:p>
        </w:tc>
      </w:tr>
      <w:tr w:rsidR="00631008" w:rsidRPr="00631008" w14:paraId="1BF9D7AE" w14:textId="77777777" w:rsidTr="0058308B">
        <w:trPr>
          <w:trHeight w:val="25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1F71E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31B6" w14:textId="77777777" w:rsidR="00631008" w:rsidRPr="00631008" w:rsidRDefault="00631008" w:rsidP="00631008">
            <w:pPr>
              <w:widowControl/>
              <w:autoSpaceDE/>
              <w:autoSpaceDN/>
              <w:snapToGrid w:val="0"/>
              <w:spacing w:after="15" w:line="250" w:lineRule="auto"/>
              <w:ind w:left="108" w:hanging="10"/>
              <w:jc w:val="center"/>
              <w:rPr>
                <w:b/>
              </w:rPr>
            </w:pPr>
          </w:p>
        </w:tc>
      </w:tr>
    </w:tbl>
    <w:p w14:paraId="5912F014" w14:textId="77777777" w:rsidR="000A1042" w:rsidRDefault="000A1042" w:rsidP="00631008">
      <w:pPr>
        <w:widowControl/>
        <w:autoSpaceDE/>
        <w:autoSpaceDN/>
        <w:spacing w:after="15" w:line="250" w:lineRule="auto"/>
        <w:ind w:left="108" w:hanging="10"/>
        <w:rPr>
          <w:b/>
        </w:rPr>
      </w:pPr>
    </w:p>
    <w:p w14:paraId="5AD3E967" w14:textId="67D6AB32" w:rsidR="00631008" w:rsidRDefault="00F4279C" w:rsidP="00631008">
      <w:pPr>
        <w:widowControl/>
        <w:autoSpaceDE/>
        <w:autoSpaceDN/>
        <w:spacing w:after="15" w:line="250" w:lineRule="auto"/>
        <w:ind w:left="108" w:hanging="10"/>
        <w:rPr>
          <w:b/>
        </w:rPr>
      </w:pPr>
      <w:r>
        <w:rPr>
          <w:b/>
        </w:rPr>
        <w:t>GRADING SCALE</w:t>
      </w:r>
    </w:p>
    <w:p w14:paraId="48B798B5" w14:textId="77777777" w:rsidR="000A1042" w:rsidRPr="00631008" w:rsidRDefault="000A1042" w:rsidP="00631008">
      <w:pPr>
        <w:widowControl/>
        <w:autoSpaceDE/>
        <w:autoSpaceDN/>
        <w:spacing w:after="15" w:line="250" w:lineRule="auto"/>
        <w:ind w:left="108" w:hanging="10"/>
        <w:rPr>
          <w:b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560"/>
        <w:gridCol w:w="3565"/>
        <w:gridCol w:w="3557"/>
      </w:tblGrid>
      <w:tr w:rsidR="00631008" w:rsidRPr="00631008" w14:paraId="3FD40664" w14:textId="77777777" w:rsidTr="0058308B">
        <w:tc>
          <w:tcPr>
            <w:tcW w:w="3560" w:type="dxa"/>
          </w:tcPr>
          <w:p w14:paraId="0EAE014B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90-100%</w:t>
            </w:r>
          </w:p>
        </w:tc>
        <w:tc>
          <w:tcPr>
            <w:tcW w:w="3565" w:type="dxa"/>
          </w:tcPr>
          <w:p w14:paraId="44744ACD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1,098+ pts</w:t>
            </w:r>
          </w:p>
        </w:tc>
        <w:tc>
          <w:tcPr>
            <w:tcW w:w="3557" w:type="dxa"/>
          </w:tcPr>
          <w:p w14:paraId="3C6668EC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A</w:t>
            </w:r>
          </w:p>
        </w:tc>
      </w:tr>
      <w:tr w:rsidR="00631008" w:rsidRPr="00631008" w14:paraId="6748A949" w14:textId="77777777" w:rsidTr="0058308B">
        <w:tc>
          <w:tcPr>
            <w:tcW w:w="3560" w:type="dxa"/>
          </w:tcPr>
          <w:p w14:paraId="4406104E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80-90%</w:t>
            </w:r>
          </w:p>
        </w:tc>
        <w:tc>
          <w:tcPr>
            <w:tcW w:w="3565" w:type="dxa"/>
          </w:tcPr>
          <w:p w14:paraId="37AC6258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976 – 1,098 pts</w:t>
            </w:r>
          </w:p>
        </w:tc>
        <w:tc>
          <w:tcPr>
            <w:tcW w:w="3557" w:type="dxa"/>
          </w:tcPr>
          <w:p w14:paraId="6B4593EC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B</w:t>
            </w:r>
          </w:p>
        </w:tc>
      </w:tr>
      <w:tr w:rsidR="00631008" w:rsidRPr="00631008" w14:paraId="48BBD7E2" w14:textId="77777777" w:rsidTr="0058308B">
        <w:tc>
          <w:tcPr>
            <w:tcW w:w="3560" w:type="dxa"/>
          </w:tcPr>
          <w:p w14:paraId="69934CBA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70-80%</w:t>
            </w:r>
          </w:p>
        </w:tc>
        <w:tc>
          <w:tcPr>
            <w:tcW w:w="3565" w:type="dxa"/>
          </w:tcPr>
          <w:p w14:paraId="52F37B66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854 – 976 pts</w:t>
            </w:r>
          </w:p>
        </w:tc>
        <w:tc>
          <w:tcPr>
            <w:tcW w:w="3557" w:type="dxa"/>
          </w:tcPr>
          <w:p w14:paraId="61D1CD3F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C</w:t>
            </w:r>
          </w:p>
        </w:tc>
      </w:tr>
      <w:tr w:rsidR="00631008" w:rsidRPr="00631008" w14:paraId="48A13DCF" w14:textId="77777777" w:rsidTr="0058308B">
        <w:tc>
          <w:tcPr>
            <w:tcW w:w="3560" w:type="dxa"/>
          </w:tcPr>
          <w:p w14:paraId="6955C574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60-70%</w:t>
            </w:r>
          </w:p>
        </w:tc>
        <w:tc>
          <w:tcPr>
            <w:tcW w:w="3565" w:type="dxa"/>
          </w:tcPr>
          <w:p w14:paraId="1A84D081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732 – 854 pts</w:t>
            </w:r>
          </w:p>
        </w:tc>
        <w:tc>
          <w:tcPr>
            <w:tcW w:w="3557" w:type="dxa"/>
          </w:tcPr>
          <w:p w14:paraId="743FA4C6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D</w:t>
            </w:r>
          </w:p>
        </w:tc>
      </w:tr>
      <w:tr w:rsidR="00631008" w:rsidRPr="00631008" w14:paraId="449303C2" w14:textId="77777777" w:rsidTr="0058308B">
        <w:tc>
          <w:tcPr>
            <w:tcW w:w="3560" w:type="dxa"/>
          </w:tcPr>
          <w:p w14:paraId="6CCD0E08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0-60%</w:t>
            </w:r>
          </w:p>
        </w:tc>
        <w:tc>
          <w:tcPr>
            <w:tcW w:w="3565" w:type="dxa"/>
          </w:tcPr>
          <w:p w14:paraId="11A02EF6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0 – 732 pts</w:t>
            </w:r>
          </w:p>
        </w:tc>
        <w:tc>
          <w:tcPr>
            <w:tcW w:w="3557" w:type="dxa"/>
          </w:tcPr>
          <w:p w14:paraId="49365621" w14:textId="77777777" w:rsidR="00631008" w:rsidRPr="00631008" w:rsidRDefault="00631008" w:rsidP="00631008">
            <w:pPr>
              <w:spacing w:after="15" w:line="250" w:lineRule="auto"/>
              <w:jc w:val="center"/>
            </w:pPr>
            <w:r w:rsidRPr="00631008">
              <w:t>E</w:t>
            </w:r>
          </w:p>
        </w:tc>
      </w:tr>
    </w:tbl>
    <w:p w14:paraId="57040629" w14:textId="77777777" w:rsidR="00631008" w:rsidRPr="00631008" w:rsidRDefault="00631008" w:rsidP="00631008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14:paraId="31AE8E63" w14:textId="77777777" w:rsidR="006462E0" w:rsidRPr="00233C0A" w:rsidRDefault="006462E0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7777777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Class absenteeism can affect </w:t>
      </w:r>
      <w:proofErr w:type="gramStart"/>
      <w:r>
        <w:rPr>
          <w:sz w:val="24"/>
        </w:rPr>
        <w:t>the progress</w:t>
      </w:r>
      <w:proofErr w:type="gramEnd"/>
      <w:r>
        <w:rPr>
          <w:sz w:val="24"/>
        </w:rPr>
        <w:t xml:space="preserve"> and success in the course.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6E9FCAC1" w14:textId="4AADECE7" w:rsidR="00A20216" w:rsidRPr="00957351" w:rsidRDefault="00A20216" w:rsidP="00233C0A">
      <w:r w:rsidRPr="00957351">
        <w:t>Students will attend all classes. If there is an issue, it is up to the student to contact the instructor before the class. Students will be in class on time.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2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 xml:space="preserve">Assignments due on </w:t>
      </w:r>
      <w:proofErr w:type="gramStart"/>
      <w:r w:rsidRPr="00F923CC">
        <w:rPr>
          <w:rFonts w:cs="Arial"/>
        </w:rPr>
        <w:t>a day</w:t>
      </w:r>
      <w:proofErr w:type="gramEnd"/>
      <w:r w:rsidRPr="00F923CC">
        <w:rPr>
          <w:rFonts w:cs="Arial"/>
        </w:rPr>
        <w:t xml:space="preserve"> the college is closed will be due the next scheduled class period.  If an examination is scheduled for a </w:t>
      </w:r>
      <w:proofErr w:type="gramStart"/>
      <w:r w:rsidRPr="00F923CC">
        <w:rPr>
          <w:rFonts w:cs="Arial"/>
        </w:rPr>
        <w:t>day</w:t>
      </w:r>
      <w:proofErr w:type="gramEnd"/>
      <w:r w:rsidRPr="00F923CC">
        <w:rPr>
          <w:rFonts w:cs="Arial"/>
        </w:rPr>
        <w:t xml:space="preserve">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32807F05" w14:textId="1AB6461C" w:rsidR="00C14D9F" w:rsidRDefault="002A5919">
      <w:pPr>
        <w:rPr>
          <w:b/>
          <w:bCs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  <w:r w:rsidR="00C14D9F">
        <w:rPr>
          <w:b/>
          <w:bCs/>
        </w:rPr>
        <w:br w:type="page"/>
      </w:r>
    </w:p>
    <w:p w14:paraId="0BE20BF2" w14:textId="77777777" w:rsidR="00696123" w:rsidRDefault="00D91EA6" w:rsidP="00C14D9F">
      <w:pPr>
        <w:rPr>
          <w:b/>
          <w:bCs/>
        </w:rPr>
      </w:pPr>
      <w:r w:rsidRPr="00A86695">
        <w:rPr>
          <w:b/>
          <w:bCs/>
        </w:rPr>
        <w:lastRenderedPageBreak/>
        <w:t xml:space="preserve">UNITS OF INSTRUCTION </w:t>
      </w:r>
    </w:p>
    <w:p w14:paraId="31AE8E77" w14:textId="66E7CF6C" w:rsidR="006462E0" w:rsidRDefault="00002C1D" w:rsidP="00C14D9F">
      <w:pPr>
        <w:rPr>
          <w:rFonts w:asciiTheme="minorHAnsi" w:hAnsiTheme="minorHAnsi" w:cstheme="minorHAnsi"/>
          <w:b/>
        </w:rPr>
      </w:pPr>
      <w:r w:rsidRPr="00B701F0">
        <w:rPr>
          <w:noProof/>
        </w:rPr>
        <w:drawing>
          <wp:inline distT="0" distB="0" distL="0" distR="0" wp14:anchorId="660D4849" wp14:editId="6398138D">
            <wp:extent cx="6543675" cy="8324850"/>
            <wp:effectExtent l="0" t="0" r="9525" b="0"/>
            <wp:docPr id="1473117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17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239" cy="836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D2EA" w14:textId="77777777" w:rsidR="005675AF" w:rsidRDefault="005675AF" w:rsidP="00C14D9F">
      <w:pPr>
        <w:rPr>
          <w:rFonts w:asciiTheme="minorHAnsi" w:hAnsiTheme="minorHAnsi" w:cstheme="minorHAnsi"/>
          <w:b/>
        </w:rPr>
      </w:pPr>
    </w:p>
    <w:p w14:paraId="3312FED1" w14:textId="7AFFFE55" w:rsidR="00C82A91" w:rsidRPr="002C57E9" w:rsidRDefault="00C82A91" w:rsidP="00C82A91">
      <w:pPr>
        <w:spacing w:after="160" w:line="259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C1626">
        <w:rPr>
          <w:rFonts w:ascii="Times New Roman" w:eastAsia="Times New Roman" w:hAnsi="Times New Roman" w:cs="Times New Roman"/>
        </w:rPr>
        <w:t xml:space="preserve">*** </w:t>
      </w:r>
      <w:r>
        <w:rPr>
          <w:rFonts w:ascii="Times New Roman" w:eastAsia="Times New Roman" w:hAnsi="Times New Roman" w:cs="Times New Roman"/>
        </w:rPr>
        <w:t>Spring 2025</w:t>
      </w:r>
      <w:r w:rsidR="00374DD6">
        <w:rPr>
          <w:rFonts w:ascii="Times New Roman" w:eastAsia="Times New Roman" w:hAnsi="Times New Roman" w:cs="Times New Roman"/>
        </w:rPr>
        <w:t xml:space="preserve"> Example</w:t>
      </w:r>
      <w:r w:rsidRPr="005C1626">
        <w:rPr>
          <w:rFonts w:ascii="Times New Roman" w:eastAsia="Times New Roman" w:hAnsi="Times New Roman" w:cs="Times New Roman"/>
        </w:rPr>
        <w:t>***</w:t>
      </w:r>
    </w:p>
    <w:p w14:paraId="1349A944" w14:textId="77777777" w:rsidR="005675AF" w:rsidRPr="00C046A0" w:rsidRDefault="005675AF" w:rsidP="00C14D9F">
      <w:pPr>
        <w:rPr>
          <w:rFonts w:asciiTheme="minorHAnsi" w:hAnsiTheme="minorHAnsi" w:cstheme="minorHAnsi"/>
          <w:b/>
        </w:rPr>
      </w:pPr>
    </w:p>
    <w:p w14:paraId="31AE8EF4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31AE8F46" w14:textId="4171BC51" w:rsidR="006462E0" w:rsidRPr="00152761" w:rsidRDefault="006462E0" w:rsidP="00152761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152761" w:rsidSect="00696123">
      <w:footerReference w:type="default" r:id="rId14"/>
      <w:pgSz w:w="12240" w:h="15840"/>
      <w:pgMar w:top="720" w:right="720" w:bottom="720" w:left="72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FEE8" w14:textId="77777777" w:rsidR="00DB63A9" w:rsidRDefault="00DB63A9">
      <w:r>
        <w:separator/>
      </w:r>
    </w:p>
  </w:endnote>
  <w:endnote w:type="continuationSeparator" w:id="0">
    <w:p w14:paraId="73CB5767" w14:textId="77777777" w:rsidR="00DB63A9" w:rsidRDefault="00DB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AC6E" w14:textId="77777777" w:rsidR="00DB63A9" w:rsidRDefault="00DB63A9">
      <w:r>
        <w:separator/>
      </w:r>
    </w:p>
  </w:footnote>
  <w:footnote w:type="continuationSeparator" w:id="0">
    <w:p w14:paraId="6BCA5D1C" w14:textId="77777777" w:rsidR="00DB63A9" w:rsidRDefault="00DB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2329"/>
    <w:multiLevelType w:val="hybridMultilevel"/>
    <w:tmpl w:val="B9BE6688"/>
    <w:lvl w:ilvl="0" w:tplc="EB7A294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24F28">
      <w:start w:val="1"/>
      <w:numFmt w:val="bullet"/>
      <w:lvlText w:val="o"/>
      <w:lvlJc w:val="left"/>
      <w:pPr>
        <w:ind w:left="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4D410">
      <w:start w:val="1"/>
      <w:numFmt w:val="bullet"/>
      <w:lvlText w:val="▪"/>
      <w:lvlJc w:val="left"/>
      <w:pPr>
        <w:ind w:left="1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EF382">
      <w:start w:val="1"/>
      <w:numFmt w:val="bullet"/>
      <w:lvlText w:val="•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CA8">
      <w:start w:val="1"/>
      <w:numFmt w:val="bullet"/>
      <w:lvlText w:val="o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0682C">
      <w:start w:val="1"/>
      <w:numFmt w:val="bullet"/>
      <w:lvlText w:val="▪"/>
      <w:lvlJc w:val="left"/>
      <w:pPr>
        <w:ind w:left="3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AE13C">
      <w:start w:val="1"/>
      <w:numFmt w:val="bullet"/>
      <w:lvlText w:val="•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CD116">
      <w:start w:val="1"/>
      <w:numFmt w:val="bullet"/>
      <w:lvlText w:val="o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4F5F4">
      <w:start w:val="1"/>
      <w:numFmt w:val="bullet"/>
      <w:lvlText w:val="▪"/>
      <w:lvlJc w:val="left"/>
      <w:pPr>
        <w:ind w:left="5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E77"/>
    <w:multiLevelType w:val="hybridMultilevel"/>
    <w:tmpl w:val="CBAC2ECA"/>
    <w:lvl w:ilvl="0" w:tplc="6F74440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</w:abstractNum>
  <w:abstractNum w:abstractNumId="6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7DD8"/>
    <w:multiLevelType w:val="hybridMultilevel"/>
    <w:tmpl w:val="3552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6A4D"/>
    <w:multiLevelType w:val="hybridMultilevel"/>
    <w:tmpl w:val="9182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73883"/>
    <w:multiLevelType w:val="hybridMultilevel"/>
    <w:tmpl w:val="6144FE5A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1"/>
  </w:num>
  <w:num w:numId="2" w16cid:durableId="1978610251">
    <w:abstractNumId w:val="18"/>
  </w:num>
  <w:num w:numId="3" w16cid:durableId="1113280298">
    <w:abstractNumId w:val="8"/>
  </w:num>
  <w:num w:numId="4" w16cid:durableId="1820681903">
    <w:abstractNumId w:val="2"/>
  </w:num>
  <w:num w:numId="5" w16cid:durableId="1948393575">
    <w:abstractNumId w:val="10"/>
  </w:num>
  <w:num w:numId="6" w16cid:durableId="1947274238">
    <w:abstractNumId w:val="9"/>
  </w:num>
  <w:num w:numId="7" w16cid:durableId="1041709507">
    <w:abstractNumId w:val="7"/>
  </w:num>
  <w:num w:numId="8" w16cid:durableId="1843202761">
    <w:abstractNumId w:val="14"/>
  </w:num>
  <w:num w:numId="9" w16cid:durableId="1196385442">
    <w:abstractNumId w:val="17"/>
  </w:num>
  <w:num w:numId="10" w16cid:durableId="992755432">
    <w:abstractNumId w:val="0"/>
  </w:num>
  <w:num w:numId="11" w16cid:durableId="1790583558">
    <w:abstractNumId w:val="15"/>
  </w:num>
  <w:num w:numId="12" w16cid:durableId="1218394354">
    <w:abstractNumId w:val="16"/>
  </w:num>
  <w:num w:numId="13" w16cid:durableId="1971086487">
    <w:abstractNumId w:val="12"/>
  </w:num>
  <w:num w:numId="14" w16cid:durableId="450638257">
    <w:abstractNumId w:val="4"/>
  </w:num>
  <w:num w:numId="15" w16cid:durableId="1295401715">
    <w:abstractNumId w:val="6"/>
  </w:num>
  <w:num w:numId="16" w16cid:durableId="1309625580">
    <w:abstractNumId w:val="11"/>
  </w:num>
  <w:num w:numId="17" w16cid:durableId="1513035905">
    <w:abstractNumId w:val="13"/>
  </w:num>
  <w:num w:numId="18" w16cid:durableId="71902126">
    <w:abstractNumId w:val="5"/>
  </w:num>
  <w:num w:numId="19" w16cid:durableId="121597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o6w4t5zwzclnUk5y9bvspJ6Dw+GSck4GFyMSVK+wUn7kUDT29K/ag8tesA66g9aQaN8CQiQdOmiCKoKaPeplQ==" w:salt="7D51BZRDCZ0TCmNWPDCXV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02C1D"/>
    <w:rsid w:val="00060C70"/>
    <w:rsid w:val="00073F4D"/>
    <w:rsid w:val="0007602F"/>
    <w:rsid w:val="000A1042"/>
    <w:rsid w:val="000A4BE2"/>
    <w:rsid w:val="0010115B"/>
    <w:rsid w:val="00104EE2"/>
    <w:rsid w:val="001175C0"/>
    <w:rsid w:val="00146A5C"/>
    <w:rsid w:val="00152761"/>
    <w:rsid w:val="00181FB3"/>
    <w:rsid w:val="001B15B0"/>
    <w:rsid w:val="001C334A"/>
    <w:rsid w:val="001E2275"/>
    <w:rsid w:val="001F590A"/>
    <w:rsid w:val="002076F9"/>
    <w:rsid w:val="00233C0A"/>
    <w:rsid w:val="0026094C"/>
    <w:rsid w:val="00276F51"/>
    <w:rsid w:val="002A5919"/>
    <w:rsid w:val="002F2F40"/>
    <w:rsid w:val="00322EB7"/>
    <w:rsid w:val="0032791C"/>
    <w:rsid w:val="00332A4A"/>
    <w:rsid w:val="00343C76"/>
    <w:rsid w:val="00343C7D"/>
    <w:rsid w:val="00351670"/>
    <w:rsid w:val="00374DD6"/>
    <w:rsid w:val="0037713A"/>
    <w:rsid w:val="0038272C"/>
    <w:rsid w:val="003C6959"/>
    <w:rsid w:val="003F7F96"/>
    <w:rsid w:val="004142FD"/>
    <w:rsid w:val="00423AE4"/>
    <w:rsid w:val="00431773"/>
    <w:rsid w:val="00472679"/>
    <w:rsid w:val="0049334A"/>
    <w:rsid w:val="004D6546"/>
    <w:rsid w:val="005675AF"/>
    <w:rsid w:val="0059130A"/>
    <w:rsid w:val="005F40B3"/>
    <w:rsid w:val="00601DE5"/>
    <w:rsid w:val="00631008"/>
    <w:rsid w:val="006462E0"/>
    <w:rsid w:val="006532DF"/>
    <w:rsid w:val="006721D8"/>
    <w:rsid w:val="0067368A"/>
    <w:rsid w:val="00696123"/>
    <w:rsid w:val="006A56D2"/>
    <w:rsid w:val="006A5790"/>
    <w:rsid w:val="006E438F"/>
    <w:rsid w:val="007055E1"/>
    <w:rsid w:val="00736448"/>
    <w:rsid w:val="00746CD5"/>
    <w:rsid w:val="007778B7"/>
    <w:rsid w:val="0079253B"/>
    <w:rsid w:val="007979D6"/>
    <w:rsid w:val="007C692D"/>
    <w:rsid w:val="008004F3"/>
    <w:rsid w:val="008166E8"/>
    <w:rsid w:val="008612CC"/>
    <w:rsid w:val="00861853"/>
    <w:rsid w:val="00865B05"/>
    <w:rsid w:val="00866BFA"/>
    <w:rsid w:val="008A3BDE"/>
    <w:rsid w:val="00900B28"/>
    <w:rsid w:val="00957351"/>
    <w:rsid w:val="00961820"/>
    <w:rsid w:val="00963D89"/>
    <w:rsid w:val="009826D0"/>
    <w:rsid w:val="00982E8B"/>
    <w:rsid w:val="009B5BB6"/>
    <w:rsid w:val="009D3B85"/>
    <w:rsid w:val="009D638B"/>
    <w:rsid w:val="00A16339"/>
    <w:rsid w:val="00A20216"/>
    <w:rsid w:val="00A3608A"/>
    <w:rsid w:val="00A71FB6"/>
    <w:rsid w:val="00A83D17"/>
    <w:rsid w:val="00A86695"/>
    <w:rsid w:val="00A96F08"/>
    <w:rsid w:val="00AF67A2"/>
    <w:rsid w:val="00B16F37"/>
    <w:rsid w:val="00BB590D"/>
    <w:rsid w:val="00BC240B"/>
    <w:rsid w:val="00BF0B17"/>
    <w:rsid w:val="00C046A0"/>
    <w:rsid w:val="00C06E71"/>
    <w:rsid w:val="00C1237B"/>
    <w:rsid w:val="00C14D9F"/>
    <w:rsid w:val="00C21A10"/>
    <w:rsid w:val="00C25B3F"/>
    <w:rsid w:val="00C77564"/>
    <w:rsid w:val="00C82A91"/>
    <w:rsid w:val="00CD35D2"/>
    <w:rsid w:val="00CE31EF"/>
    <w:rsid w:val="00D457F1"/>
    <w:rsid w:val="00D62287"/>
    <w:rsid w:val="00D72EC9"/>
    <w:rsid w:val="00D80730"/>
    <w:rsid w:val="00D91EA6"/>
    <w:rsid w:val="00D96EF8"/>
    <w:rsid w:val="00DB63A9"/>
    <w:rsid w:val="00DC2D2D"/>
    <w:rsid w:val="00DE20B9"/>
    <w:rsid w:val="00EE6CEF"/>
    <w:rsid w:val="00F1434A"/>
    <w:rsid w:val="00F4279C"/>
    <w:rsid w:val="00F4635A"/>
    <w:rsid w:val="00F55D9B"/>
    <w:rsid w:val="00F833E6"/>
    <w:rsid w:val="00FA32A9"/>
    <w:rsid w:val="00FB4AF5"/>
    <w:rsid w:val="00FB572C"/>
    <w:rsid w:val="00FD7BBB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next w:val="Normal"/>
    <w:link w:val="Heading1Char"/>
    <w:uiPriority w:val="9"/>
    <w:unhideWhenUsed/>
    <w:qFormat/>
    <w:rsid w:val="00861853"/>
    <w:pPr>
      <w:keepNext/>
      <w:keepLines/>
      <w:widowControl/>
      <w:autoSpaceDE/>
      <w:autoSpaceDN/>
      <w:spacing w:line="265" w:lineRule="auto"/>
      <w:ind w:left="10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customStyle="1" w:styleId="Heading1Char">
    <w:name w:val="Heading 1 Char"/>
    <w:basedOn w:val="DefaultParagraphFont"/>
    <w:link w:val="Heading1"/>
    <w:uiPriority w:val="9"/>
    <w:rsid w:val="00861853"/>
    <w:rPr>
      <w:rFonts w:ascii="Calibri" w:eastAsia="Calibri" w:hAnsi="Calibri" w:cs="Calibri"/>
      <w:b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23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E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31008"/>
    <w:pPr>
      <w:widowControl/>
      <w:autoSpaceDE/>
      <w:autoSpaceDN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C6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9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C6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9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cc.edu/academics/online-learning/technical-requirements.s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69E62-CB8C-4098-B87F-AE2C7655F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D10D9-7884-4ED8-BF46-9EF9FBD64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711DC-A09A-4D93-8ECC-FB7E7CF0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1036</Words>
  <Characters>5906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81</cp:revision>
  <dcterms:created xsi:type="dcterms:W3CDTF">2025-05-05T16:24:00Z</dcterms:created>
  <dcterms:modified xsi:type="dcterms:W3CDTF">2026-05-26T19:21:00Z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